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EF0E" w14:textId="58155FC8" w:rsidR="003814D5" w:rsidRPr="00107B76" w:rsidRDefault="006868A0" w:rsidP="003814D5">
      <w:pPr>
        <w:ind w:left="5103"/>
        <w:rPr>
          <w:bCs/>
          <w:lang w:val="en-GB"/>
        </w:rPr>
      </w:pPr>
      <w:r w:rsidRPr="00107B76">
        <w:rPr>
          <w:lang w:val="en-GB"/>
        </w:rPr>
        <w:t>APPROVED</w:t>
      </w:r>
    </w:p>
    <w:p w14:paraId="3D5BD437" w14:textId="4F484219" w:rsidR="00A82F1D" w:rsidRPr="00107B76" w:rsidRDefault="00E0743B" w:rsidP="00A82F1D">
      <w:pPr>
        <w:ind w:left="5103"/>
        <w:rPr>
          <w:bCs/>
          <w:lang w:val="en-GB"/>
        </w:rPr>
      </w:pPr>
      <w:r w:rsidRPr="00107B76">
        <w:rPr>
          <w:lang w:val="en-GB"/>
        </w:rPr>
        <w:t xml:space="preserve">By the </w:t>
      </w:r>
      <w:r w:rsidR="00536622" w:rsidRPr="00107B76">
        <w:rPr>
          <w:lang w:val="en-GB"/>
        </w:rPr>
        <w:t xml:space="preserve">Order of </w:t>
      </w:r>
      <w:r w:rsidR="00D025BC" w:rsidRPr="00107B76">
        <w:rPr>
          <w:lang w:val="en-GB"/>
        </w:rPr>
        <w:t xml:space="preserve">the </w:t>
      </w:r>
      <w:r w:rsidR="000062F6" w:rsidRPr="00107B76">
        <w:rPr>
          <w:lang w:val="en-GB"/>
        </w:rPr>
        <w:t>D</w:t>
      </w:r>
      <w:r w:rsidR="00263724" w:rsidRPr="00107B76">
        <w:rPr>
          <w:lang w:val="en-GB"/>
        </w:rPr>
        <w:t>i</w:t>
      </w:r>
      <w:r w:rsidR="00164438" w:rsidRPr="00107B76">
        <w:rPr>
          <w:lang w:val="en-GB"/>
        </w:rPr>
        <w:t>rector</w:t>
      </w:r>
      <w:r w:rsidR="00224D48" w:rsidRPr="00107B76">
        <w:rPr>
          <w:lang w:val="en-GB"/>
        </w:rPr>
        <w:t xml:space="preserve"> of the Agency </w:t>
      </w:r>
      <w:r w:rsidR="00164438" w:rsidRPr="00107B76">
        <w:rPr>
          <w:lang w:val="en-GB"/>
        </w:rPr>
        <w:t>for</w:t>
      </w:r>
      <w:r w:rsidR="00224D48" w:rsidRPr="00107B76">
        <w:rPr>
          <w:lang w:val="en-GB"/>
        </w:rPr>
        <w:t xml:space="preserve"> Science, Innovation and Tec</w:t>
      </w:r>
      <w:r w:rsidR="00164438" w:rsidRPr="00107B76">
        <w:rPr>
          <w:lang w:val="en-GB"/>
        </w:rPr>
        <w:t>h</w:t>
      </w:r>
      <w:r w:rsidR="00224D48" w:rsidRPr="00107B76">
        <w:rPr>
          <w:lang w:val="en-GB"/>
        </w:rPr>
        <w:t xml:space="preserve">nology </w:t>
      </w:r>
    </w:p>
    <w:p w14:paraId="1E67ED4D" w14:textId="6FF285DE" w:rsidR="00E0743B" w:rsidRPr="00107B76" w:rsidRDefault="00692C8A" w:rsidP="00D025BC">
      <w:pPr>
        <w:ind w:left="5103"/>
        <w:rPr>
          <w:bCs/>
          <w:lang w:val="en-GB"/>
        </w:rPr>
      </w:pPr>
      <w:r w:rsidRPr="00107B76">
        <w:rPr>
          <w:lang w:val="en-GB"/>
        </w:rPr>
        <w:t xml:space="preserve">Order </w:t>
      </w:r>
      <w:r w:rsidR="000062F6" w:rsidRPr="00107B76">
        <w:rPr>
          <w:lang w:val="en-GB"/>
        </w:rPr>
        <w:t xml:space="preserve">No 2V- </w:t>
      </w:r>
      <w:r w:rsidR="00D025BC" w:rsidRPr="00107B76">
        <w:rPr>
          <w:lang w:val="en-GB"/>
        </w:rPr>
        <w:t xml:space="preserve">       of          </w:t>
      </w:r>
      <w:r w:rsidR="00714925" w:rsidRPr="00107B76">
        <w:rPr>
          <w:lang w:val="en-GB"/>
        </w:rPr>
        <w:t>2020</w:t>
      </w:r>
    </w:p>
    <w:p w14:paraId="72A61A35" w14:textId="77777777" w:rsidR="009F519A" w:rsidRPr="00107B76" w:rsidRDefault="009F519A" w:rsidP="003B23FA">
      <w:pPr>
        <w:rPr>
          <w:b/>
          <w:sz w:val="28"/>
          <w:lang w:val="en-GB"/>
        </w:rPr>
      </w:pPr>
    </w:p>
    <w:p w14:paraId="7245666D" w14:textId="77777777" w:rsidR="009F519A" w:rsidRPr="00107B76" w:rsidRDefault="009F519A" w:rsidP="00EA15DC">
      <w:pPr>
        <w:jc w:val="center"/>
        <w:rPr>
          <w:b/>
          <w:sz w:val="28"/>
          <w:lang w:val="en-GB"/>
        </w:rPr>
      </w:pPr>
    </w:p>
    <w:p w14:paraId="435F3DA9" w14:textId="29C415B6" w:rsidR="00A479E3" w:rsidRPr="00107B76" w:rsidRDefault="00A479E3" w:rsidP="00A479E3">
      <w:pPr>
        <w:jc w:val="center"/>
        <w:rPr>
          <w:b/>
          <w:sz w:val="28"/>
          <w:lang w:val="en-GB"/>
        </w:rPr>
      </w:pPr>
      <w:r w:rsidRPr="00107B76">
        <w:rPr>
          <w:b/>
          <w:bCs/>
          <w:sz w:val="28"/>
          <w:szCs w:val="28"/>
          <w:lang w:val="en-GB"/>
        </w:rPr>
        <w:t>NORWEGIAN FINANCIAL MECHANISM 2014-2021</w:t>
      </w:r>
    </w:p>
    <w:p w14:paraId="6281A096" w14:textId="4F75416E" w:rsidR="005A5468" w:rsidRPr="00107B76" w:rsidRDefault="00D025BC" w:rsidP="005A5468">
      <w:pPr>
        <w:jc w:val="center"/>
        <w:rPr>
          <w:b/>
          <w:sz w:val="28"/>
          <w:lang w:val="en-GB"/>
        </w:rPr>
      </w:pPr>
      <w:r w:rsidRPr="00107B76">
        <w:rPr>
          <w:b/>
          <w:bCs/>
          <w:sz w:val="28"/>
          <w:szCs w:val="28"/>
          <w:lang w:val="en-GB"/>
        </w:rPr>
        <w:t xml:space="preserve">PROGRAMME </w:t>
      </w:r>
      <w:r w:rsidR="00EB4563" w:rsidRPr="00107B76">
        <w:rPr>
          <w:b/>
          <w:bCs/>
          <w:sz w:val="28"/>
          <w:szCs w:val="28"/>
          <w:lang w:val="en-GB"/>
        </w:rPr>
        <w:t>“</w:t>
      </w:r>
      <w:r w:rsidR="005A5468" w:rsidRPr="00107B76">
        <w:rPr>
          <w:b/>
          <w:bCs/>
          <w:sz w:val="28"/>
          <w:szCs w:val="28"/>
          <w:lang w:val="en-GB"/>
        </w:rPr>
        <w:t xml:space="preserve">BUSINESS DEVELOPMENT, INNOVATION AND </w:t>
      </w:r>
      <w:proofErr w:type="gramStart"/>
      <w:r w:rsidR="005A5468" w:rsidRPr="00107B76">
        <w:rPr>
          <w:b/>
          <w:bCs/>
          <w:sz w:val="28"/>
          <w:szCs w:val="28"/>
          <w:lang w:val="en-GB"/>
        </w:rPr>
        <w:t>SMES</w:t>
      </w:r>
      <w:r w:rsidRPr="00107B76">
        <w:rPr>
          <w:b/>
          <w:bCs/>
          <w:sz w:val="28"/>
          <w:szCs w:val="28"/>
          <w:lang w:val="en-GB"/>
        </w:rPr>
        <w:t>“</w:t>
      </w:r>
      <w:proofErr w:type="gramEnd"/>
      <w:r w:rsidR="005A5468" w:rsidRPr="00107B76">
        <w:rPr>
          <w:b/>
          <w:bCs/>
          <w:sz w:val="28"/>
          <w:szCs w:val="28"/>
          <w:lang w:val="en-GB"/>
        </w:rPr>
        <w:t xml:space="preserve"> </w:t>
      </w:r>
    </w:p>
    <w:p w14:paraId="37CD6140" w14:textId="77777777" w:rsidR="00A479E3" w:rsidRPr="00107B76" w:rsidRDefault="00A479E3" w:rsidP="00A479E3">
      <w:pPr>
        <w:jc w:val="center"/>
        <w:rPr>
          <w:b/>
          <w:sz w:val="28"/>
          <w:lang w:val="en-GB"/>
        </w:rPr>
      </w:pPr>
      <w:r w:rsidRPr="00107B76">
        <w:rPr>
          <w:b/>
          <w:bCs/>
          <w:sz w:val="28"/>
          <w:szCs w:val="28"/>
          <w:lang w:val="en-GB"/>
        </w:rPr>
        <w:t>CALL FOR PROPOSALS UNDER GREEN INDUSTRY INNOVATION FOCUS AREA</w:t>
      </w:r>
    </w:p>
    <w:p w14:paraId="66BE5C4D" w14:textId="0EDEF07C" w:rsidR="00AC68D8" w:rsidRPr="00107B76" w:rsidRDefault="00AC68D8" w:rsidP="001376FA">
      <w:pPr>
        <w:autoSpaceDE w:val="0"/>
        <w:autoSpaceDN w:val="0"/>
        <w:adjustRightInd w:val="0"/>
        <w:jc w:val="center"/>
        <w:rPr>
          <w:b/>
          <w:bCs/>
          <w:color w:val="000000"/>
          <w:sz w:val="23"/>
          <w:szCs w:val="23"/>
          <w:lang w:val="en-GB"/>
        </w:rPr>
      </w:pPr>
    </w:p>
    <w:p w14:paraId="5DF56A10" w14:textId="35993113" w:rsidR="00CD319E" w:rsidRPr="00107B76" w:rsidRDefault="00CD319E" w:rsidP="00CD319E">
      <w:pPr>
        <w:autoSpaceDE w:val="0"/>
        <w:autoSpaceDN w:val="0"/>
        <w:adjustRightInd w:val="0"/>
        <w:jc w:val="center"/>
        <w:rPr>
          <w:b/>
          <w:bCs/>
          <w:color w:val="000000"/>
          <w:sz w:val="23"/>
          <w:szCs w:val="23"/>
          <w:lang w:val="en-GB"/>
        </w:rPr>
      </w:pPr>
      <w:r w:rsidRPr="00107B76">
        <w:rPr>
          <w:b/>
          <w:bCs/>
          <w:color w:val="000000"/>
          <w:sz w:val="23"/>
          <w:szCs w:val="23"/>
          <w:lang w:val="en-GB"/>
        </w:rPr>
        <w:t>CHAPTER 1</w:t>
      </w:r>
    </w:p>
    <w:p w14:paraId="2AF2E1F2" w14:textId="02922421" w:rsidR="00CD319E" w:rsidRPr="00107B76" w:rsidRDefault="00CD319E" w:rsidP="00CD319E">
      <w:pPr>
        <w:autoSpaceDE w:val="0"/>
        <w:autoSpaceDN w:val="0"/>
        <w:adjustRightInd w:val="0"/>
        <w:jc w:val="center"/>
        <w:rPr>
          <w:b/>
          <w:bCs/>
          <w:color w:val="000000"/>
          <w:sz w:val="23"/>
          <w:szCs w:val="23"/>
          <w:lang w:val="en-GB"/>
        </w:rPr>
      </w:pPr>
      <w:r w:rsidRPr="00107B76">
        <w:rPr>
          <w:b/>
          <w:bCs/>
          <w:color w:val="000000"/>
          <w:sz w:val="23"/>
          <w:szCs w:val="23"/>
          <w:lang w:val="en-GB"/>
        </w:rPr>
        <w:t>GENERAL PROVISIONS</w:t>
      </w:r>
    </w:p>
    <w:p w14:paraId="7964315D" w14:textId="77777777" w:rsidR="00121E20" w:rsidRPr="00107B76" w:rsidRDefault="00121E20" w:rsidP="00586D01">
      <w:pPr>
        <w:jc w:val="center"/>
        <w:rPr>
          <w:b/>
          <w:lang w:val="en-GB"/>
        </w:rPr>
      </w:pPr>
    </w:p>
    <w:p w14:paraId="3AF81F5D" w14:textId="1B543961" w:rsidR="00380851" w:rsidRPr="00107B76" w:rsidRDefault="00B16071" w:rsidP="006B2593">
      <w:pPr>
        <w:pStyle w:val="ListParagraph"/>
        <w:numPr>
          <w:ilvl w:val="0"/>
          <w:numId w:val="3"/>
        </w:numPr>
        <w:tabs>
          <w:tab w:val="left" w:pos="0"/>
          <w:tab w:val="left" w:pos="993"/>
        </w:tabs>
        <w:ind w:left="0" w:firstLine="709"/>
        <w:contextualSpacing w:val="0"/>
        <w:jc w:val="both"/>
        <w:rPr>
          <w:lang w:val="en-GB"/>
        </w:rPr>
      </w:pPr>
      <w:r w:rsidRPr="00107B76">
        <w:rPr>
          <w:lang w:val="en-GB"/>
        </w:rPr>
        <w:t xml:space="preserve"> </w:t>
      </w:r>
      <w:r w:rsidR="00DE6256" w:rsidRPr="00107B76">
        <w:rPr>
          <w:lang w:val="en-GB"/>
        </w:rPr>
        <w:t>The call for proposals under a Green industry innovation, including bio economy, focus area of the Norwegian Financial Mechanism 2014-2021 programme “Business Development, Innovation and SMEs“ (hereafter referred to as the “Call“) lays down the terms and conditions for projects, applicants, project partners and institutions which will carry out the evaluation and selection of projects.</w:t>
      </w:r>
    </w:p>
    <w:p w14:paraId="41D8C835" w14:textId="6D59EC96" w:rsidR="00375546" w:rsidRPr="00107B76" w:rsidRDefault="00CC6CCF" w:rsidP="006B2593">
      <w:pPr>
        <w:pStyle w:val="ListParagraph"/>
        <w:numPr>
          <w:ilvl w:val="0"/>
          <w:numId w:val="3"/>
        </w:numPr>
        <w:tabs>
          <w:tab w:val="left" w:pos="0"/>
          <w:tab w:val="left" w:pos="993"/>
        </w:tabs>
        <w:ind w:left="0" w:firstLine="709"/>
        <w:contextualSpacing w:val="0"/>
        <w:jc w:val="both"/>
        <w:rPr>
          <w:lang w:val="en-GB"/>
        </w:rPr>
      </w:pPr>
      <w:r w:rsidRPr="00107B76">
        <w:rPr>
          <w:lang w:val="en-GB"/>
        </w:rPr>
        <w:t>Programme „Business Development, Innovation an</w:t>
      </w:r>
      <w:r w:rsidR="00EE0694" w:rsidRPr="00107B76">
        <w:rPr>
          <w:lang w:val="en-GB"/>
        </w:rPr>
        <w:t>d</w:t>
      </w:r>
      <w:r w:rsidRPr="00107B76">
        <w:rPr>
          <w:lang w:val="en-GB"/>
        </w:rPr>
        <w:t xml:space="preserve"> SMEs”</w:t>
      </w:r>
      <w:r w:rsidR="001A5CC6" w:rsidRPr="00107B76">
        <w:rPr>
          <w:lang w:val="en-GB"/>
        </w:rPr>
        <w:t xml:space="preserve"> (hereafter referred to as the “Programme“)</w:t>
      </w:r>
      <w:r w:rsidR="008524FF" w:rsidRPr="00107B76">
        <w:rPr>
          <w:lang w:val="en-GB"/>
        </w:rPr>
        <w:t xml:space="preserve"> </w:t>
      </w:r>
      <w:r w:rsidR="0050201F" w:rsidRPr="00107B76">
        <w:rPr>
          <w:lang w:val="en-GB"/>
        </w:rPr>
        <w:t xml:space="preserve">shall contribute to a general aim of the </w:t>
      </w:r>
      <w:r w:rsidR="001A5CC6" w:rsidRPr="00107B76">
        <w:rPr>
          <w:lang w:val="en-GB"/>
        </w:rPr>
        <w:t xml:space="preserve">2014-2021 Norwegian </w:t>
      </w:r>
      <w:r w:rsidR="00622E65" w:rsidRPr="00107B76">
        <w:rPr>
          <w:lang w:val="en-GB"/>
        </w:rPr>
        <w:t>F</w:t>
      </w:r>
      <w:r w:rsidR="001A5CC6" w:rsidRPr="00107B76">
        <w:rPr>
          <w:lang w:val="en-GB"/>
        </w:rPr>
        <w:t xml:space="preserve">inancial </w:t>
      </w:r>
      <w:r w:rsidR="00622E65" w:rsidRPr="00107B76">
        <w:rPr>
          <w:lang w:val="en-GB"/>
        </w:rPr>
        <w:t>M</w:t>
      </w:r>
      <w:r w:rsidR="001A5CC6" w:rsidRPr="00107B76">
        <w:rPr>
          <w:lang w:val="en-GB"/>
        </w:rPr>
        <w:t xml:space="preserve">echanism (hereafter referred to as the “Norway Grants“) </w:t>
      </w:r>
      <w:r w:rsidR="00EE0694" w:rsidRPr="00107B76">
        <w:rPr>
          <w:lang w:val="en-GB"/>
        </w:rPr>
        <w:t xml:space="preserve">to </w:t>
      </w:r>
      <w:r w:rsidR="00324C24" w:rsidRPr="00107B76">
        <w:rPr>
          <w:lang w:val="en-GB"/>
        </w:rPr>
        <w:t>reduce</w:t>
      </w:r>
      <w:r w:rsidR="00EE0694" w:rsidRPr="00107B76">
        <w:rPr>
          <w:lang w:val="en-GB"/>
        </w:rPr>
        <w:t xml:space="preserve"> economic and social disparities in the European Economic Area (EEA) and to strengthen bilateral relations between </w:t>
      </w:r>
      <w:r w:rsidR="00D6394C" w:rsidRPr="00107B76">
        <w:rPr>
          <w:lang w:val="en-GB"/>
        </w:rPr>
        <w:t>Norway</w:t>
      </w:r>
      <w:r w:rsidR="00CF612A" w:rsidRPr="00107B76">
        <w:rPr>
          <w:lang w:val="en-GB"/>
        </w:rPr>
        <w:t xml:space="preserve"> and Lithuania</w:t>
      </w:r>
      <w:r w:rsidR="009A7CF4" w:rsidRPr="00107B76">
        <w:rPr>
          <w:lang w:val="en-GB"/>
        </w:rPr>
        <w:t xml:space="preserve">. </w:t>
      </w:r>
    </w:p>
    <w:p w14:paraId="1EB5AE8D" w14:textId="2DD6381F" w:rsidR="00087E0F" w:rsidRPr="00107B76" w:rsidRDefault="00087E0F" w:rsidP="006B2593">
      <w:pPr>
        <w:pStyle w:val="ListParagraph"/>
        <w:numPr>
          <w:ilvl w:val="0"/>
          <w:numId w:val="3"/>
        </w:numPr>
        <w:tabs>
          <w:tab w:val="left" w:pos="0"/>
          <w:tab w:val="left" w:pos="851"/>
          <w:tab w:val="left" w:pos="993"/>
        </w:tabs>
        <w:ind w:left="0" w:firstLine="709"/>
        <w:contextualSpacing w:val="0"/>
        <w:jc w:val="both"/>
        <w:rPr>
          <w:lang w:val="en-GB"/>
        </w:rPr>
      </w:pPr>
      <w:r w:rsidRPr="00107B76">
        <w:rPr>
          <w:lang w:val="en-GB"/>
        </w:rPr>
        <w:t xml:space="preserve">The </w:t>
      </w:r>
      <w:r w:rsidR="000E36CD" w:rsidRPr="00107B76">
        <w:rPr>
          <w:lang w:val="en-GB"/>
        </w:rPr>
        <w:t>objective of the</w:t>
      </w:r>
      <w:r w:rsidRPr="00107B76">
        <w:rPr>
          <w:lang w:val="en-GB"/>
        </w:rPr>
        <w:t xml:space="preserve"> Programme is </w:t>
      </w:r>
      <w:r w:rsidRPr="00107B76">
        <w:rPr>
          <w:rFonts w:eastAsiaTheme="minorEastAsia"/>
          <w:lang w:val="en-GB"/>
        </w:rPr>
        <w:t>value creation and sustainable growth.</w:t>
      </w:r>
    </w:p>
    <w:p w14:paraId="620CA5A0" w14:textId="77777777" w:rsidR="00E56062" w:rsidRPr="00107B76" w:rsidRDefault="00E56062" w:rsidP="006B2593">
      <w:pPr>
        <w:pStyle w:val="ListParagraph"/>
        <w:numPr>
          <w:ilvl w:val="0"/>
          <w:numId w:val="3"/>
        </w:numPr>
        <w:tabs>
          <w:tab w:val="left" w:pos="0"/>
          <w:tab w:val="left" w:pos="851"/>
          <w:tab w:val="left" w:pos="993"/>
        </w:tabs>
        <w:ind w:left="0" w:firstLine="709"/>
        <w:contextualSpacing w:val="0"/>
        <w:jc w:val="both"/>
        <w:rPr>
          <w:lang w:val="en-GB"/>
        </w:rPr>
      </w:pPr>
      <w:r w:rsidRPr="00107B76">
        <w:rPr>
          <w:lang w:val="en-GB"/>
        </w:rPr>
        <w:t xml:space="preserve">The Call is drafted in respect of and should be read in conjunction with the following documents: </w:t>
      </w:r>
    </w:p>
    <w:p w14:paraId="412A062A" w14:textId="532C5AB3" w:rsidR="00112868" w:rsidRPr="00107B76" w:rsidRDefault="00A01710"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Regulation on the implementation of the Norwegian Financial Mechanism 2014-2021 (hereafter referred to as “</w:t>
      </w:r>
      <w:r w:rsidR="00832A56" w:rsidRPr="00107B76">
        <w:rPr>
          <w:lang w:val="en-GB"/>
        </w:rPr>
        <w:t xml:space="preserve">Norway Grants </w:t>
      </w:r>
      <w:r w:rsidRPr="00107B76">
        <w:rPr>
          <w:lang w:val="en-GB"/>
        </w:rPr>
        <w:t xml:space="preserve">Regulation“), adopted by the Norwegian Ministry of Foreign Affairs (hereafter referred to as NFMA) pursuant to Article 10.5 of the Agreement between the Kingdom of Norway and the European Union on a Norwegian Financial Mechanism for the period 2014-2021 on </w:t>
      </w:r>
      <w:r w:rsidR="006712EB" w:rsidRPr="00107B76">
        <w:rPr>
          <w:lang w:val="en-GB"/>
        </w:rPr>
        <w:t>23 September 2016;</w:t>
      </w:r>
    </w:p>
    <w:p w14:paraId="39E08A69" w14:textId="414D0C33" w:rsidR="00301A74" w:rsidRPr="00107B76" w:rsidRDefault="00301A74"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Memorandum of Understanding on the implementation of the Norwegian Financial Mechanism 2014-2021 between the Republic of Lithuania and the Kin</w:t>
      </w:r>
      <w:r w:rsidR="00CF123C" w:rsidRPr="00107B76">
        <w:rPr>
          <w:lang w:val="en-GB"/>
        </w:rPr>
        <w:t>g</w:t>
      </w:r>
      <w:r w:rsidRPr="00107B76">
        <w:rPr>
          <w:lang w:val="en-GB"/>
        </w:rPr>
        <w:t>dom of Norway</w:t>
      </w:r>
      <w:r w:rsidR="00CF123C" w:rsidRPr="00107B76">
        <w:rPr>
          <w:lang w:val="en-GB"/>
        </w:rPr>
        <w:t>;</w:t>
      </w:r>
    </w:p>
    <w:p w14:paraId="4CA08C71" w14:textId="3689E00A" w:rsidR="00AF7E72" w:rsidRPr="00107B76" w:rsidRDefault="00815DDD"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 xml:space="preserve">Programme Agreement signed between the NFMA and The Investment Department of the Ministry of Finance for the financing of the Programme “Business </w:t>
      </w:r>
      <w:r w:rsidR="002F1451" w:rsidRPr="00107B76">
        <w:rPr>
          <w:lang w:val="en-GB"/>
        </w:rPr>
        <w:t>D</w:t>
      </w:r>
      <w:r w:rsidRPr="00107B76">
        <w:rPr>
          <w:lang w:val="en-GB"/>
        </w:rPr>
        <w:t xml:space="preserve">evelopment, </w:t>
      </w:r>
      <w:r w:rsidR="002F1451" w:rsidRPr="00107B76">
        <w:rPr>
          <w:lang w:val="en-GB"/>
        </w:rPr>
        <w:t>I</w:t>
      </w:r>
      <w:r w:rsidRPr="00107B76">
        <w:rPr>
          <w:lang w:val="en-GB"/>
        </w:rPr>
        <w:t>nnovation</w:t>
      </w:r>
      <w:r w:rsidR="002F1451" w:rsidRPr="00107B76">
        <w:rPr>
          <w:lang w:val="en-GB"/>
        </w:rPr>
        <w:t xml:space="preserve"> and SMEs” on </w:t>
      </w:r>
      <w:r w:rsidR="0096404A" w:rsidRPr="00107B76">
        <w:rPr>
          <w:lang w:val="en-GB"/>
        </w:rPr>
        <w:t>27 September 2019;</w:t>
      </w:r>
      <w:r w:rsidRPr="00107B76">
        <w:rPr>
          <w:lang w:val="en-GB"/>
        </w:rPr>
        <w:t xml:space="preserve"> </w:t>
      </w:r>
    </w:p>
    <w:p w14:paraId="6264B367" w14:textId="7174844B" w:rsidR="0069116A" w:rsidRPr="00107B76" w:rsidRDefault="00832A56"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 xml:space="preserve"> Guidelines</w:t>
      </w:r>
      <w:r w:rsidR="0069116A" w:rsidRPr="00107B76">
        <w:rPr>
          <w:lang w:val="en-GB"/>
        </w:rPr>
        <w:t xml:space="preserve"> adopted by the NFMA in accordance with the Regulation (hereafter referred to as </w:t>
      </w:r>
      <w:r w:rsidR="00966813" w:rsidRPr="00107B76">
        <w:rPr>
          <w:lang w:val="en-GB"/>
        </w:rPr>
        <w:t xml:space="preserve">the </w:t>
      </w:r>
      <w:r w:rsidR="0069116A" w:rsidRPr="00107B76">
        <w:rPr>
          <w:lang w:val="en-GB"/>
        </w:rPr>
        <w:t>“</w:t>
      </w:r>
      <w:r w:rsidRPr="00107B76">
        <w:rPr>
          <w:lang w:val="en-GB"/>
        </w:rPr>
        <w:t xml:space="preserve">Norway </w:t>
      </w:r>
      <w:proofErr w:type="gramStart"/>
      <w:r w:rsidRPr="00107B76">
        <w:rPr>
          <w:lang w:val="en-GB"/>
        </w:rPr>
        <w:t>Grants  Guidelines</w:t>
      </w:r>
      <w:proofErr w:type="gramEnd"/>
      <w:r w:rsidR="0069116A" w:rsidRPr="00107B76">
        <w:rPr>
          <w:lang w:val="en-GB"/>
        </w:rPr>
        <w:t>”);</w:t>
      </w:r>
    </w:p>
    <w:p w14:paraId="65C84079" w14:textId="1E0424B7" w:rsidR="00794B0C" w:rsidRPr="00107B76" w:rsidRDefault="00E720B4"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Rules on administration and financing of 2014-2021 European Economic Area and Norwegian Financial Mechanisms, approved by the Order on implementation of 2014-2021 European Economic Area and Norwegian Financial Mechanisms in Lithuania of Minister of Finance of the Republic of Lithuania by 12 November 2018 Order No. 1K-389 (hereafter referred to as “</w:t>
      </w:r>
      <w:r w:rsidR="00832A56" w:rsidRPr="00107B76">
        <w:rPr>
          <w:lang w:val="en-GB"/>
        </w:rPr>
        <w:t>the National</w:t>
      </w:r>
      <w:r w:rsidRPr="00107B76">
        <w:rPr>
          <w:lang w:val="en-GB"/>
        </w:rPr>
        <w:t xml:space="preserve"> Rule</w:t>
      </w:r>
      <w:r w:rsidR="00270212" w:rsidRPr="00107B76">
        <w:rPr>
          <w:lang w:val="en-GB"/>
        </w:rPr>
        <w:t>s</w:t>
      </w:r>
      <w:r w:rsidRPr="00107B76">
        <w:rPr>
          <w:lang w:val="en-GB"/>
        </w:rPr>
        <w:t>”);</w:t>
      </w:r>
    </w:p>
    <w:p w14:paraId="0D771C55" w14:textId="3A9DBF02" w:rsidR="001B05A0" w:rsidRPr="00107B76" w:rsidRDefault="0065177A"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 xml:space="preserve">Commission Regulation (EU) No 651/2014 of 17 June 2014 declaring certain categories of aid compatible with the internal market in application of Articles 107 and 108 of the Treaty (hereafter </w:t>
      </w:r>
      <w:r w:rsidR="005422C1" w:rsidRPr="00107B76">
        <w:rPr>
          <w:lang w:val="en-GB"/>
        </w:rPr>
        <w:t>referred to as</w:t>
      </w:r>
      <w:r w:rsidR="0082314B" w:rsidRPr="00107B76">
        <w:rPr>
          <w:lang w:val="en-GB"/>
        </w:rPr>
        <w:t xml:space="preserve"> </w:t>
      </w:r>
      <w:r w:rsidR="005422C1" w:rsidRPr="00107B76">
        <w:rPr>
          <w:lang w:val="en-GB"/>
        </w:rPr>
        <w:t>“State Aid Regulation”</w:t>
      </w:r>
      <w:r w:rsidR="002F1E9D" w:rsidRPr="00107B76">
        <w:rPr>
          <w:lang w:val="en-GB"/>
        </w:rPr>
        <w:t>)</w:t>
      </w:r>
      <w:r w:rsidR="00533C72" w:rsidRPr="00107B76">
        <w:rPr>
          <w:lang w:val="en-GB"/>
        </w:rPr>
        <w:t>;</w:t>
      </w:r>
    </w:p>
    <w:p w14:paraId="188A1FA8" w14:textId="20013083" w:rsidR="00533C72" w:rsidRPr="00107B76" w:rsidRDefault="00533C72" w:rsidP="006B2593">
      <w:pPr>
        <w:pStyle w:val="ListParagraph"/>
        <w:numPr>
          <w:ilvl w:val="1"/>
          <w:numId w:val="3"/>
        </w:numPr>
        <w:tabs>
          <w:tab w:val="left" w:pos="0"/>
          <w:tab w:val="left" w:pos="426"/>
          <w:tab w:val="left" w:pos="851"/>
          <w:tab w:val="left" w:pos="993"/>
          <w:tab w:val="left" w:pos="1134"/>
        </w:tabs>
        <w:ind w:left="0" w:firstLine="709"/>
        <w:contextualSpacing w:val="0"/>
        <w:jc w:val="both"/>
        <w:rPr>
          <w:lang w:val="en-GB"/>
        </w:rPr>
      </w:pPr>
      <w:r w:rsidRPr="00107B76">
        <w:rPr>
          <w:lang w:val="en-GB"/>
        </w:rPr>
        <w:t>Commission Regulation (EU) No 1407/2013 of 18 December 2013 on the application of Articles 107 and 108 of the Treaty on the Functioning of the European Union to de minimis aid" (hereafter</w:t>
      </w:r>
      <w:r w:rsidR="00F33286" w:rsidRPr="00107B76">
        <w:rPr>
          <w:lang w:val="en-GB"/>
        </w:rPr>
        <w:t xml:space="preserve"> </w:t>
      </w:r>
      <w:r w:rsidR="00BE53A4" w:rsidRPr="00107B76">
        <w:rPr>
          <w:lang w:val="en-GB"/>
        </w:rPr>
        <w:t>referred</w:t>
      </w:r>
      <w:r w:rsidR="00F33286" w:rsidRPr="00107B76">
        <w:rPr>
          <w:lang w:val="en-GB"/>
        </w:rPr>
        <w:t xml:space="preserve"> to as “</w:t>
      </w:r>
      <w:r w:rsidR="00F33286" w:rsidRPr="00107B76">
        <w:rPr>
          <w:i/>
          <w:iCs/>
          <w:lang w:val="en-GB"/>
        </w:rPr>
        <w:t>De minimis</w:t>
      </w:r>
      <w:r w:rsidR="00F33286" w:rsidRPr="00107B76">
        <w:rPr>
          <w:lang w:val="en-GB"/>
        </w:rPr>
        <w:t xml:space="preserve"> Regulation”).</w:t>
      </w:r>
    </w:p>
    <w:p w14:paraId="14454E9F" w14:textId="5F09D4E0" w:rsidR="009F2C5A" w:rsidRPr="00107B76" w:rsidRDefault="00917E01" w:rsidP="006B2593">
      <w:pPr>
        <w:pStyle w:val="ListParagraph"/>
        <w:numPr>
          <w:ilvl w:val="0"/>
          <w:numId w:val="3"/>
        </w:numPr>
        <w:tabs>
          <w:tab w:val="left" w:pos="0"/>
          <w:tab w:val="left" w:pos="426"/>
          <w:tab w:val="left" w:pos="993"/>
        </w:tabs>
        <w:ind w:left="0" w:firstLine="709"/>
        <w:contextualSpacing w:val="0"/>
        <w:jc w:val="both"/>
        <w:rPr>
          <w:lang w:val="en-GB"/>
        </w:rPr>
      </w:pPr>
      <w:r w:rsidRPr="00107B76">
        <w:rPr>
          <w:lang w:val="en-GB"/>
        </w:rPr>
        <w:lastRenderedPageBreak/>
        <w:t>Definitions used in the Call:</w:t>
      </w:r>
    </w:p>
    <w:p w14:paraId="02D2C96B" w14:textId="7F217C2D" w:rsidR="0019739A" w:rsidRPr="00107B76" w:rsidRDefault="00D91918" w:rsidP="006B2593">
      <w:pPr>
        <w:pStyle w:val="ListParagraph"/>
        <w:numPr>
          <w:ilvl w:val="1"/>
          <w:numId w:val="3"/>
        </w:numPr>
        <w:tabs>
          <w:tab w:val="left" w:pos="0"/>
        </w:tabs>
        <w:ind w:left="0" w:firstLine="709"/>
        <w:contextualSpacing w:val="0"/>
        <w:jc w:val="both"/>
        <w:rPr>
          <w:lang w:val="en-GB"/>
        </w:rPr>
      </w:pPr>
      <w:r w:rsidRPr="00107B76">
        <w:rPr>
          <w:rFonts w:eastAsiaTheme="minorEastAsia"/>
          <w:b/>
          <w:bCs/>
          <w:lang w:val="en-GB" w:eastAsia="en-US"/>
        </w:rPr>
        <w:t>Bio-based products</w:t>
      </w:r>
      <w:r w:rsidRPr="00107B76">
        <w:rPr>
          <w:rFonts w:eastAsiaTheme="minorEastAsia"/>
          <w:lang w:val="en-GB" w:eastAsia="en-US"/>
        </w:rPr>
        <w:t xml:space="preserve"> are wholly or partly derived from materials of biological origin, excluding materials embedded in geological formations and/or fossilised. By using fermentation and bio-catalysis instead of traditional chemical synthesis, higher process efficiency can be obtained, resulting in a decrease in energy and water consumption, and a reduction of toxic waste. As they are derived from renewable raw materials such as plants, bio-based products can help reduce CO2 and offer other advantages such as lower toxicity or novel product characteristics</w:t>
      </w:r>
      <w:r w:rsidR="009D3744" w:rsidRPr="00107B76">
        <w:rPr>
          <w:rFonts w:eastAsiaTheme="minorEastAsia"/>
          <w:lang w:val="en-GB" w:eastAsia="en-US"/>
        </w:rPr>
        <w:t xml:space="preserve"> (e.g. </w:t>
      </w:r>
      <w:r w:rsidR="003E2AB5" w:rsidRPr="00107B76">
        <w:rPr>
          <w:rFonts w:eastAsiaTheme="minorEastAsia"/>
          <w:lang w:val="en-GB" w:eastAsia="en-US"/>
        </w:rPr>
        <w:t>biodegradable plastic materials)</w:t>
      </w:r>
    </w:p>
    <w:p w14:paraId="73979791" w14:textId="66638F1E" w:rsidR="008D23B7" w:rsidRPr="00107B76" w:rsidRDefault="008D23B7">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Bio economy</w:t>
      </w:r>
      <w:r w:rsidRPr="00107B76">
        <w:rPr>
          <w:rFonts w:eastAsiaTheme="minorEastAsia"/>
          <w:lang w:val="en-GB" w:eastAsia="en-US"/>
        </w:rPr>
        <w:t xml:space="preserve"> covers all sectors and systems that rely on biological resources (animals, plants, micro-organisms and derived biomass, including organic waste), their functions and principles. It includes and interlinks: land and marine ecosystems and the services they provide; all primary production sectors that use and produce biological resources (agriculture, forestry, fisheries and aquaculture); and all economic and industrial sectors that use biological resources and processes to produce food, feed, bio-based products, energy and </w:t>
      </w:r>
      <w:r w:rsidR="00BE34BC" w:rsidRPr="00107B76">
        <w:rPr>
          <w:lang w:val="en-GB"/>
        </w:rPr>
        <w:t>services.</w:t>
      </w:r>
    </w:p>
    <w:p w14:paraId="08BE588B" w14:textId="76B4B69B" w:rsidR="00F84A75" w:rsidRPr="00107B76" w:rsidRDefault="00F84A75">
      <w:pPr>
        <w:pStyle w:val="ListParagraph"/>
        <w:numPr>
          <w:ilvl w:val="1"/>
          <w:numId w:val="3"/>
        </w:numPr>
        <w:tabs>
          <w:tab w:val="left" w:pos="0"/>
        </w:tabs>
        <w:ind w:left="0" w:firstLine="709"/>
        <w:contextualSpacing w:val="0"/>
        <w:jc w:val="both"/>
        <w:rPr>
          <w:rFonts w:eastAsiaTheme="minorEastAsia"/>
          <w:lang w:val="en-GB" w:eastAsia="en-US"/>
        </w:rPr>
      </w:pPr>
      <w:bookmarkStart w:id="0" w:name="_Hlk22139871"/>
      <w:r w:rsidRPr="00107B76">
        <w:rPr>
          <w:b/>
          <w:bCs/>
          <w:lang w:val="en-GB"/>
        </w:rPr>
        <w:t>Circular economy</w:t>
      </w:r>
      <w:r w:rsidRPr="00107B76">
        <w:rPr>
          <w:lang w:val="en-GB"/>
        </w:rPr>
        <w:t xml:space="preserve"> is a </w:t>
      </w:r>
      <w:hyperlink r:id="rId11" w:tgtFrame="_blank" w:history="1">
        <w:r w:rsidRPr="00107B76">
          <w:rPr>
            <w:lang w:val="en-GB"/>
          </w:rPr>
          <w:t>model of production and consumption</w:t>
        </w:r>
      </w:hyperlink>
      <w:r w:rsidRPr="00107B76">
        <w:rPr>
          <w:lang w:val="en-GB"/>
        </w:rPr>
        <w:t xml:space="preserve">, which involves sharing, leasing, reusing, repairing, refurbishing and recycling existing materials and products as long as possible. In this way, the life cycle of products is extended. It implies reducing waste to a minimum. When a product reaches the end of its life, its materials are kept within the economy </w:t>
      </w:r>
      <w:r w:rsidRPr="00107B76">
        <w:rPr>
          <w:rFonts w:eastAsiaTheme="minorEastAsia"/>
          <w:lang w:val="en-GB" w:eastAsia="en-US"/>
        </w:rPr>
        <w:t xml:space="preserve">wherever possible. These can be productively used again and again, thereby creating further </w:t>
      </w:r>
      <w:r w:rsidR="0094103A" w:rsidRPr="00107B76">
        <w:rPr>
          <w:rFonts w:eastAsiaTheme="minorEastAsia"/>
          <w:lang w:val="en-GB" w:eastAsia="en-US"/>
        </w:rPr>
        <w:t>value.</w:t>
      </w:r>
    </w:p>
    <w:p w14:paraId="24321995" w14:textId="6B79BEC1" w:rsidR="001E40C0" w:rsidRPr="00107B76" w:rsidRDefault="001E40C0" w:rsidP="006B2593">
      <w:pPr>
        <w:pStyle w:val="ListParagraph"/>
        <w:numPr>
          <w:ilvl w:val="1"/>
          <w:numId w:val="3"/>
        </w:numPr>
        <w:tabs>
          <w:tab w:val="left" w:pos="0"/>
        </w:tabs>
        <w:ind w:left="0" w:firstLine="709"/>
        <w:contextualSpacing w:val="0"/>
        <w:jc w:val="both"/>
        <w:rPr>
          <w:lang w:val="en-GB"/>
        </w:rPr>
      </w:pPr>
      <w:r w:rsidRPr="00107B76">
        <w:rPr>
          <w:rFonts w:eastAsiaTheme="minorEastAsia"/>
          <w:b/>
          <w:bCs/>
          <w:lang w:val="en-GB" w:eastAsia="en-US"/>
        </w:rPr>
        <w:t>Commercialisation</w:t>
      </w:r>
      <w:r w:rsidRPr="00107B76">
        <w:rPr>
          <w:rFonts w:eastAsiaTheme="minorEastAsia"/>
          <w:lang w:val="en-GB" w:eastAsia="en-US"/>
        </w:rPr>
        <w:t xml:space="preserve"> means such activities as actual application of the technology in its final form and under real-life conditions, such as those encountered in operational test and evaluations, market replication and the like aiming to bring an innovative idea (product, process, service etc.) to industrial readiness and maturity for market introduction. Activities </w:t>
      </w:r>
      <w:r w:rsidR="00601E60" w:rsidRPr="00107B76">
        <w:rPr>
          <w:rFonts w:eastAsiaTheme="minorEastAsia"/>
          <w:lang w:val="en-GB" w:eastAsia="en-US"/>
        </w:rPr>
        <w:t xml:space="preserve">correspond </w:t>
      </w:r>
      <w:r w:rsidRPr="00107B76">
        <w:rPr>
          <w:lang w:val="en-GB"/>
        </w:rPr>
        <w:t>Technology Readiness Level</w:t>
      </w:r>
      <w:r w:rsidR="00601E60" w:rsidRPr="00107B76">
        <w:rPr>
          <w:lang w:val="en-GB"/>
        </w:rPr>
        <w:t xml:space="preserve"> </w:t>
      </w:r>
      <w:r w:rsidRPr="00107B76">
        <w:rPr>
          <w:lang w:val="en-GB"/>
        </w:rPr>
        <w:t>(TRL) 9</w:t>
      </w:r>
      <w:r w:rsidR="00601E60" w:rsidRPr="00107B76">
        <w:rPr>
          <w:lang w:val="en-GB"/>
        </w:rPr>
        <w:t xml:space="preserve">, approved by the Government of the Republic of Lithuania Order “On Approval of Description of Recommended Classification of Technology Readiness Levels” (hereinafter </w:t>
      </w:r>
      <w:r w:rsidR="004A2564" w:rsidRPr="00107B76">
        <w:rPr>
          <w:lang w:val="en-GB"/>
        </w:rPr>
        <w:t>referred</w:t>
      </w:r>
      <w:r w:rsidR="00601E60" w:rsidRPr="00107B76">
        <w:rPr>
          <w:lang w:val="en-GB"/>
        </w:rPr>
        <w:t xml:space="preserve"> to as </w:t>
      </w:r>
      <w:r w:rsidR="00FA58AC" w:rsidRPr="00107B76">
        <w:rPr>
          <w:lang w:val="en-GB"/>
        </w:rPr>
        <w:t xml:space="preserve">the </w:t>
      </w:r>
      <w:r w:rsidR="004A2564" w:rsidRPr="00107B76">
        <w:rPr>
          <w:lang w:val="en-GB"/>
        </w:rPr>
        <w:t>“Description of Classification”) Order No 650 of 6</w:t>
      </w:r>
      <w:r w:rsidR="000F2FB6" w:rsidRPr="00107B76">
        <w:rPr>
          <w:lang w:val="en-GB"/>
        </w:rPr>
        <w:t> </w:t>
      </w:r>
      <w:r w:rsidR="004A2564" w:rsidRPr="00107B76">
        <w:rPr>
          <w:lang w:val="en-GB"/>
        </w:rPr>
        <w:t>June</w:t>
      </w:r>
      <w:r w:rsidR="000F2FB6" w:rsidRPr="00107B76">
        <w:rPr>
          <w:lang w:val="en-GB"/>
        </w:rPr>
        <w:t> </w:t>
      </w:r>
      <w:r w:rsidR="004A2564" w:rsidRPr="00107B76">
        <w:rPr>
          <w:lang w:val="en-GB"/>
        </w:rPr>
        <w:t>2012.</w:t>
      </w:r>
    </w:p>
    <w:bookmarkEnd w:id="0"/>
    <w:p w14:paraId="71F77154" w14:textId="70EBCB1A" w:rsidR="005E5C2E" w:rsidRPr="00107B76" w:rsidRDefault="005E5C2E">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Donor Partnership Project</w:t>
      </w:r>
      <w:r w:rsidRPr="00107B76">
        <w:rPr>
          <w:rFonts w:eastAsiaTheme="minorEastAsia"/>
          <w:lang w:val="en-GB" w:eastAsia="en-US"/>
        </w:rPr>
        <w:t xml:space="preserve"> is defined as cooperation between an Applicant (Project Promoter) and at least one Donor State Partner implementing a project where all entities are independent of each other and perform substantial and relevant tasks in the completion of the project. </w:t>
      </w:r>
    </w:p>
    <w:p w14:paraId="6EAF631E" w14:textId="5859324E"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Donor State Partner</w:t>
      </w:r>
      <w:r w:rsidRPr="00107B76">
        <w:rPr>
          <w:rFonts w:eastAsiaTheme="minorEastAsia"/>
          <w:lang w:val="en-GB" w:eastAsia="en-US"/>
        </w:rPr>
        <w:t xml:space="preserve"> is </w:t>
      </w:r>
      <w:r w:rsidR="003E7772" w:rsidRPr="00107B76">
        <w:rPr>
          <w:rFonts w:eastAsiaTheme="minorEastAsia"/>
          <w:lang w:val="en-GB" w:eastAsia="en-US"/>
        </w:rPr>
        <w:t xml:space="preserve">a </w:t>
      </w:r>
      <w:r w:rsidRPr="00107B76">
        <w:rPr>
          <w:rFonts w:eastAsiaTheme="minorEastAsia"/>
          <w:lang w:val="en-GB" w:eastAsia="en-US"/>
        </w:rPr>
        <w:t>public or private entity established as a legal person in Norway</w:t>
      </w:r>
      <w:r w:rsidR="003E7772" w:rsidRPr="00107B76">
        <w:rPr>
          <w:rFonts w:eastAsiaTheme="minorEastAsia"/>
          <w:lang w:val="en-GB" w:eastAsia="en-US"/>
        </w:rPr>
        <w:t xml:space="preserve">, who is actively involved in and effectively contributing to implementation of a project, and shares with the Project Promoter a common economic or social goal which is to be realized through implementation of a project. </w:t>
      </w:r>
    </w:p>
    <w:p w14:paraId="4939FED1" w14:textId="46678FC6"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Environmental technologies</w:t>
      </w:r>
      <w:r w:rsidRPr="00107B76">
        <w:rPr>
          <w:rFonts w:eastAsiaTheme="minorEastAsia"/>
          <w:lang w:val="en-GB" w:eastAsia="en-US"/>
        </w:rPr>
        <w:t xml:space="preserve"> include technologies which help reduce the demand for raw materials and the amounts of energy consumption and pollutant emissions and obtain valuable by products and resolve waste disposal problems, also encourage ecological and economic efficiency, help apply environmental management systems and make the production processes cleaner.</w:t>
      </w:r>
    </w:p>
    <w:p w14:paraId="0E0379AC" w14:textId="71728607" w:rsidR="00313A75" w:rsidRPr="00107B76" w:rsidRDefault="00313A75">
      <w:pPr>
        <w:pStyle w:val="ListParagraph"/>
        <w:numPr>
          <w:ilvl w:val="1"/>
          <w:numId w:val="3"/>
        </w:numPr>
        <w:tabs>
          <w:tab w:val="left" w:pos="0"/>
        </w:tabs>
        <w:ind w:left="0" w:firstLine="709"/>
        <w:contextualSpacing w:val="0"/>
        <w:jc w:val="both"/>
        <w:rPr>
          <w:rFonts w:eastAsiaTheme="minorEastAsia"/>
          <w:b/>
          <w:bCs/>
          <w:lang w:val="en-GB" w:eastAsia="en-US"/>
        </w:rPr>
      </w:pPr>
      <w:r w:rsidRPr="00107B76">
        <w:rPr>
          <w:rFonts w:eastAsiaTheme="minorEastAsia"/>
          <w:b/>
          <w:bCs/>
          <w:lang w:val="en-GB" w:eastAsia="en-US"/>
        </w:rPr>
        <w:t>Experimental development</w:t>
      </w:r>
      <w:r w:rsidR="0082314B" w:rsidRPr="00107B76">
        <w:rPr>
          <w:rFonts w:eastAsiaTheme="minorEastAsia"/>
          <w:b/>
          <w:bCs/>
          <w:lang w:val="en-GB" w:eastAsia="en-US"/>
        </w:rPr>
        <w:t xml:space="preserve"> </w:t>
      </w:r>
      <w:r w:rsidR="006F63EE" w:rsidRPr="00107B76">
        <w:rPr>
          <w:rFonts w:eastAsiaTheme="minorEastAsia"/>
          <w:b/>
          <w:bCs/>
          <w:lang w:val="en-GB"/>
        </w:rPr>
        <w:t>-</w:t>
      </w:r>
      <w:r w:rsidR="006F63EE" w:rsidRPr="00107B76">
        <w:rPr>
          <w:rFonts w:eastAsiaTheme="minorEastAsia"/>
          <w:lang w:val="en-GB"/>
        </w:rPr>
        <w:t xml:space="preserve"> as defined in the Article 2</w:t>
      </w:r>
      <w:r w:rsidR="0082314B" w:rsidRPr="00107B76">
        <w:rPr>
          <w:rFonts w:eastAsiaTheme="minorEastAsia"/>
          <w:lang w:val="en-GB"/>
        </w:rPr>
        <w:t xml:space="preserve"> point (86) of State Aid Regulation.</w:t>
      </w:r>
    </w:p>
    <w:p w14:paraId="50F1737D" w14:textId="04AC1FAF"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Green industry</w:t>
      </w:r>
      <w:r w:rsidRPr="00107B76">
        <w:rPr>
          <w:rFonts w:eastAsiaTheme="minorEastAsia"/>
          <w:lang w:val="en-GB" w:eastAsia="en-US"/>
        </w:rPr>
        <w:t xml:space="preserve"> means the industry in which operating legal entities apply in their activities the following principles of sustainable development: they use non-renewable natural resources effectively, develop the use of renewable natural resources, reduce the negative environmental impact of technological processes and products during their entire life cycle, and apply environmental management systems and sustainable consumption.</w:t>
      </w:r>
    </w:p>
    <w:p w14:paraId="68C1A690" w14:textId="3127AB29" w:rsidR="00A62B1E" w:rsidRPr="00107B76" w:rsidRDefault="00A62B1E">
      <w:pPr>
        <w:pStyle w:val="ListParagraph"/>
        <w:numPr>
          <w:ilvl w:val="1"/>
          <w:numId w:val="3"/>
        </w:numPr>
        <w:tabs>
          <w:tab w:val="left" w:pos="0"/>
        </w:tabs>
        <w:ind w:left="0" w:firstLine="709"/>
        <w:contextualSpacing w:val="0"/>
        <w:jc w:val="both"/>
        <w:rPr>
          <w:rFonts w:eastAsiaTheme="minorEastAsia"/>
          <w:b/>
          <w:bCs/>
          <w:lang w:val="en-GB" w:eastAsia="en-US"/>
        </w:rPr>
      </w:pPr>
      <w:r w:rsidRPr="00107B76">
        <w:rPr>
          <w:rFonts w:eastAsiaTheme="minorEastAsia"/>
          <w:b/>
          <w:bCs/>
          <w:lang w:val="en-GB" w:eastAsia="en-US"/>
        </w:rPr>
        <w:t>Indicator</w:t>
      </w:r>
      <w:r w:rsidR="00E20DD4" w:rsidRPr="00107B76">
        <w:rPr>
          <w:rFonts w:eastAsiaTheme="minorEastAsia"/>
          <w:b/>
          <w:bCs/>
          <w:lang w:val="en-GB" w:eastAsia="en-US"/>
        </w:rPr>
        <w:t xml:space="preserve"> - </w:t>
      </w:r>
      <w:r w:rsidR="00E20DD4" w:rsidRPr="00107B76">
        <w:rPr>
          <w:rFonts w:eastAsiaTheme="minorEastAsia"/>
          <w:lang w:val="en-GB" w:eastAsia="en-US"/>
        </w:rPr>
        <w:t>a quantitative or qualitative variable that specifies what is to be measured along a scale or dimension. It should always be expressed in neutral terms: it should neither indicate the direction or change nor embed a target.</w:t>
      </w:r>
    </w:p>
    <w:p w14:paraId="5A482AA7" w14:textId="518CA0F8" w:rsidR="002F21A5" w:rsidRPr="00107B76" w:rsidRDefault="002F21A5">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Industrial research</w:t>
      </w:r>
      <w:r w:rsidRPr="00107B76">
        <w:rPr>
          <w:rFonts w:eastAsiaTheme="minorEastAsia"/>
          <w:lang w:val="en-GB" w:eastAsia="en-US"/>
        </w:rPr>
        <w:t xml:space="preserve"> </w:t>
      </w:r>
      <w:r w:rsidRPr="00107B76">
        <w:rPr>
          <w:rFonts w:eastAsiaTheme="minorEastAsia"/>
          <w:lang w:val="en-GB"/>
        </w:rPr>
        <w:t>as defined in the Article 2 point (85) of State Aid Regulation.</w:t>
      </w:r>
    </w:p>
    <w:p w14:paraId="59E85AE6" w14:textId="190D3E41"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lastRenderedPageBreak/>
        <w:t>Innovation</w:t>
      </w:r>
      <w:r w:rsidRPr="00107B76">
        <w:rPr>
          <w:rFonts w:eastAsiaTheme="minorEastAsia"/>
          <w:lang w:val="en-GB" w:eastAsia="en-US"/>
        </w:rPr>
        <w:t xml:space="preserve"> – new or significantly improved products or processes, including production, construction, building and other processes, new marketing methods, new methods of business, workplace arrangement or external relations, which are introduced to the market, public administration, social and cultural area as defined in the Law of the Republic of Lithuania on Technology and </w:t>
      </w:r>
      <w:r w:rsidR="00777931" w:rsidRPr="00107B76">
        <w:rPr>
          <w:lang w:val="en-GB"/>
        </w:rPr>
        <w:t>Innovation</w:t>
      </w:r>
      <w:r w:rsidR="00777931" w:rsidRPr="00107B76">
        <w:rPr>
          <w:rStyle w:val="FootnoteReference"/>
          <w:lang w:val="en-GB"/>
        </w:rPr>
        <w:footnoteReference w:id="2"/>
      </w:r>
      <w:r w:rsidR="00777931" w:rsidRPr="00107B76">
        <w:rPr>
          <w:lang w:val="en-GB"/>
        </w:rPr>
        <w:t>.</w:t>
      </w:r>
    </w:p>
    <w:p w14:paraId="41F41740" w14:textId="73B0CA46"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Large enterprise</w:t>
      </w:r>
      <w:r w:rsidRPr="00107B76">
        <w:rPr>
          <w:rFonts w:eastAsiaTheme="minorEastAsia"/>
          <w:lang w:val="en-GB" w:eastAsia="en-US"/>
        </w:rPr>
        <w:t xml:space="preserve"> means a private legal entity that does not meet the definition of a micro-, small or medium-sized enterprise as it is stipulated in the Law of the Republic of Lithuania on Small and Medium-Sized Business Development.</w:t>
      </w:r>
    </w:p>
    <w:p w14:paraId="4C2CC917" w14:textId="77777777"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New products</w:t>
      </w:r>
      <w:r w:rsidRPr="00107B76">
        <w:rPr>
          <w:rFonts w:eastAsiaTheme="minorEastAsia"/>
          <w:lang w:val="en-GB" w:eastAsia="en-US"/>
        </w:rPr>
        <w:t xml:space="preserve"> are goods and services that differ significantly in their characteristics or intended uses from products previously produced by the firm.</w:t>
      </w:r>
    </w:p>
    <w:p w14:paraId="431CC33E" w14:textId="60301A40" w:rsidR="00A62B1E" w:rsidRPr="00107B76" w:rsidRDefault="00A62B1E">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Outcome</w:t>
      </w:r>
      <w:r w:rsidR="00E20DD4" w:rsidRPr="00107B76">
        <w:rPr>
          <w:rFonts w:eastAsiaTheme="minorEastAsia"/>
          <w:b/>
          <w:bCs/>
          <w:lang w:val="en-GB" w:eastAsia="en-US"/>
        </w:rPr>
        <w:t xml:space="preserve">s - </w:t>
      </w:r>
      <w:r w:rsidR="00E20DD4" w:rsidRPr="00107B76">
        <w:rPr>
          <w:rFonts w:eastAsiaTheme="minorEastAsia"/>
          <w:lang w:val="en-GB" w:eastAsia="en-US"/>
        </w:rPr>
        <w:t>the (short and medium-term) effects of an intervention’s outputs on the intermediaries or end beneficiaries.</w:t>
      </w:r>
      <w:r w:rsidR="00E20DD4" w:rsidRPr="00107B76">
        <w:rPr>
          <w:rFonts w:eastAsiaTheme="minorEastAsia"/>
          <w:b/>
          <w:bCs/>
          <w:lang w:val="en-GB" w:eastAsia="en-US"/>
        </w:rPr>
        <w:t xml:space="preserve"> </w:t>
      </w:r>
      <w:r w:rsidR="00EB1ACC" w:rsidRPr="00107B76">
        <w:rPr>
          <w:rFonts w:eastAsiaTheme="minorEastAsia"/>
          <w:lang w:val="en-GB" w:eastAsia="en-US"/>
        </w:rPr>
        <w:t>All projects selected under this Call shall contribute to the Programme-level outcome, namely Increased competitiveness of Lithuanian companies within the focus areas Green Industry Innovation, including bio economy, and ICT</w:t>
      </w:r>
      <w:r w:rsidR="00EB1ACC" w:rsidRPr="00107B76">
        <w:rPr>
          <w:rFonts w:eastAsiaTheme="minorEastAsia"/>
          <w:i/>
          <w:iCs/>
          <w:lang w:val="en-GB" w:eastAsia="en-US"/>
        </w:rPr>
        <w:t xml:space="preserve">. </w:t>
      </w:r>
    </w:p>
    <w:p w14:paraId="6D2B6533" w14:textId="2580FB29" w:rsidR="00B729E9" w:rsidRPr="00107B76" w:rsidRDefault="00B729E9" w:rsidP="00401538">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Partnership Project</w:t>
      </w:r>
      <w:r w:rsidRPr="00107B76">
        <w:rPr>
          <w:rFonts w:eastAsiaTheme="minorEastAsia"/>
          <w:lang w:val="en-GB" w:eastAsia="en-US"/>
        </w:rPr>
        <w:t xml:space="preserve"> is defined as cooperation between an Applicant (Project Promoter) and at least one other legal entity established in Lithuania, implementing a project where all entities are independent of each other and perform substantial and relevant tasks in completion of the project. The Partner should be actively involved in, and effectively contributing to, the implementation of the project, and it should share with the Project Promoter a common economic or social goal which is to be realized through the implementation of the project. The simple provision of services does not qualify as a project partnership.</w:t>
      </w:r>
    </w:p>
    <w:p w14:paraId="34D63A4F" w14:textId="2F37E59C"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Product</w:t>
      </w:r>
      <w:r w:rsidRPr="00107B76">
        <w:rPr>
          <w:rFonts w:eastAsiaTheme="minorEastAsia"/>
          <w:lang w:val="en-GB" w:eastAsia="en-US"/>
        </w:rPr>
        <w:t xml:space="preserve"> – the result of work effort, including problem solutions, which can be introduced to the market to meet human desires and needs as defined in the Law of the Republic of Lithuania on Technology and Innovation.</w:t>
      </w:r>
    </w:p>
    <w:p w14:paraId="7374D652" w14:textId="69CC5AAE" w:rsidR="00AD73C5" w:rsidRPr="00107B76" w:rsidRDefault="00AD73C5">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 xml:space="preserve">Single undertaking </w:t>
      </w:r>
      <w:r w:rsidRPr="00107B76">
        <w:rPr>
          <w:lang w:val="en-GB"/>
        </w:rPr>
        <w:t xml:space="preserve">includes all enterprises having at least one of the relationships with each other as defined in the </w:t>
      </w:r>
      <w:r w:rsidRPr="00107B76">
        <w:rPr>
          <w:rFonts w:eastAsiaTheme="minorEastAsia"/>
          <w:lang w:val="en-GB" w:eastAsia="en-US"/>
        </w:rPr>
        <w:t>Paragraph 2 of Article 2 of State Aid Regulation</w:t>
      </w:r>
      <w:r w:rsidRPr="00107B76">
        <w:rPr>
          <w:lang w:val="en-GB"/>
        </w:rPr>
        <w:t>.</w:t>
      </w:r>
    </w:p>
    <w:p w14:paraId="1987A804" w14:textId="30CAB73F"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Small and medium-sized enterprise</w:t>
      </w:r>
      <w:r w:rsidRPr="00107B76">
        <w:rPr>
          <w:rFonts w:eastAsiaTheme="minorEastAsia"/>
          <w:lang w:val="en-GB" w:eastAsia="en-US"/>
        </w:rPr>
        <w:t xml:space="preserve"> (hereinafter referred to as the SME) means a private legal entity corresponding to the status of micro, small or medium-sized enterprise as defined in the Law of the Republic of Lithuania on Small and Medium-Sized Business Development.</w:t>
      </w:r>
    </w:p>
    <w:p w14:paraId="04456797" w14:textId="77777777" w:rsidR="00B729E9"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Technology</w:t>
      </w:r>
      <w:r w:rsidRPr="00107B76">
        <w:rPr>
          <w:rFonts w:eastAsiaTheme="minorEastAsia"/>
          <w:lang w:val="en-GB" w:eastAsia="en-US"/>
        </w:rPr>
        <w:t xml:space="preserve"> means the method of practical application of tools, mechanisms, technical aids, capacities, systems or organisational methods, aiming at solution of problems or performing a specific function, including problematic and specific functions in social, cultural, humanitarian and other area as defined in the Law of the Republic of Lithuania on Technology and Innovation.</w:t>
      </w:r>
    </w:p>
    <w:p w14:paraId="083CFE94" w14:textId="6D36C438" w:rsidR="00484D31" w:rsidRPr="00107B76" w:rsidRDefault="00B729E9">
      <w:pPr>
        <w:pStyle w:val="ListParagraph"/>
        <w:numPr>
          <w:ilvl w:val="1"/>
          <w:numId w:val="3"/>
        </w:numPr>
        <w:tabs>
          <w:tab w:val="left" w:pos="0"/>
        </w:tabs>
        <w:ind w:left="0" w:firstLine="709"/>
        <w:contextualSpacing w:val="0"/>
        <w:jc w:val="both"/>
        <w:rPr>
          <w:rFonts w:eastAsiaTheme="minorEastAsia"/>
          <w:lang w:val="en-GB" w:eastAsia="en-US"/>
        </w:rPr>
      </w:pPr>
      <w:r w:rsidRPr="00107B76">
        <w:rPr>
          <w:rFonts w:eastAsiaTheme="minorEastAsia"/>
          <w:b/>
          <w:bCs/>
          <w:lang w:val="en-GB" w:eastAsia="en-US"/>
        </w:rPr>
        <w:t>Undertaking in difficulty</w:t>
      </w:r>
      <w:r w:rsidRPr="00107B76">
        <w:rPr>
          <w:rFonts w:eastAsiaTheme="minorEastAsia"/>
          <w:lang w:val="en-GB" w:eastAsia="en-US"/>
        </w:rPr>
        <w:t xml:space="preserve"> means an undertaking in respect of which at least one of the circumstances referred to in </w:t>
      </w:r>
      <w:r w:rsidR="00EE1DA7" w:rsidRPr="00107B76">
        <w:rPr>
          <w:rFonts w:eastAsiaTheme="minorEastAsia"/>
          <w:lang w:val="en-GB" w:eastAsia="en-US"/>
        </w:rPr>
        <w:t>P</w:t>
      </w:r>
      <w:r w:rsidRPr="00107B76">
        <w:rPr>
          <w:rFonts w:eastAsiaTheme="minorEastAsia"/>
          <w:lang w:val="en-GB" w:eastAsia="en-US"/>
        </w:rPr>
        <w:t>aragraph 18</w:t>
      </w:r>
      <w:r w:rsidR="00EE1DA7" w:rsidRPr="00107B76">
        <w:rPr>
          <w:rFonts w:eastAsiaTheme="minorEastAsia"/>
          <w:lang w:val="en-GB" w:eastAsia="en-US"/>
        </w:rPr>
        <w:t xml:space="preserve"> of Article 2</w:t>
      </w:r>
      <w:r w:rsidRPr="00107B76">
        <w:rPr>
          <w:rFonts w:eastAsiaTheme="minorEastAsia"/>
          <w:lang w:val="en-GB" w:eastAsia="en-US"/>
        </w:rPr>
        <w:t xml:space="preserve"> of State Aid Regulation occurs.</w:t>
      </w:r>
    </w:p>
    <w:p w14:paraId="0B9C430E" w14:textId="02C2F205" w:rsidR="00F31FEC" w:rsidRPr="00107B76" w:rsidRDefault="000F0C7C" w:rsidP="00AD73C5">
      <w:pPr>
        <w:pStyle w:val="ListParagraph"/>
        <w:numPr>
          <w:ilvl w:val="0"/>
          <w:numId w:val="3"/>
        </w:numPr>
        <w:tabs>
          <w:tab w:val="left" w:pos="0"/>
          <w:tab w:val="left" w:pos="993"/>
        </w:tabs>
        <w:ind w:left="0" w:firstLine="709"/>
        <w:contextualSpacing w:val="0"/>
        <w:jc w:val="both"/>
        <w:rPr>
          <w:lang w:val="en-GB"/>
        </w:rPr>
      </w:pPr>
      <w:r w:rsidRPr="00107B76">
        <w:rPr>
          <w:lang w:val="en-GB"/>
        </w:rPr>
        <w:t xml:space="preserve">Other definitions used in the Call shall be understood in accordance with </w:t>
      </w:r>
      <w:r w:rsidR="00F31FEC" w:rsidRPr="00107B76">
        <w:rPr>
          <w:lang w:val="en-GB"/>
        </w:rPr>
        <w:t xml:space="preserve">the </w:t>
      </w:r>
      <w:r w:rsidR="00AF2E72" w:rsidRPr="00107B76">
        <w:rPr>
          <w:lang w:val="en-GB"/>
        </w:rPr>
        <w:t xml:space="preserve">definitions provided in the </w:t>
      </w:r>
      <w:r w:rsidRPr="00107B76">
        <w:rPr>
          <w:lang w:val="en-GB"/>
        </w:rPr>
        <w:t xml:space="preserve">documents </w:t>
      </w:r>
      <w:r w:rsidR="00AF2E72" w:rsidRPr="00107B76">
        <w:rPr>
          <w:lang w:val="en-GB"/>
        </w:rPr>
        <w:t>listed</w:t>
      </w:r>
      <w:r w:rsidRPr="00107B76">
        <w:rPr>
          <w:lang w:val="en-GB"/>
        </w:rPr>
        <w:t xml:space="preserve"> in </w:t>
      </w:r>
      <w:r w:rsidR="00EE385E" w:rsidRPr="00107B76">
        <w:rPr>
          <w:lang w:val="en-GB"/>
        </w:rPr>
        <w:t>Paragraph 4 of the Call</w:t>
      </w:r>
      <w:r w:rsidR="00AF2E72" w:rsidRPr="00107B76">
        <w:rPr>
          <w:lang w:val="en-GB"/>
        </w:rPr>
        <w:t xml:space="preserve">. </w:t>
      </w:r>
    </w:p>
    <w:p w14:paraId="119F712F" w14:textId="7CA937AB" w:rsidR="007E30E5" w:rsidRPr="00107B76" w:rsidRDefault="007E30E5" w:rsidP="00AD73C5">
      <w:pPr>
        <w:pStyle w:val="ListParagraph"/>
        <w:numPr>
          <w:ilvl w:val="0"/>
          <w:numId w:val="3"/>
        </w:numPr>
        <w:tabs>
          <w:tab w:val="left" w:pos="0"/>
          <w:tab w:val="left" w:pos="993"/>
        </w:tabs>
        <w:ind w:left="0" w:firstLine="709"/>
        <w:contextualSpacing w:val="0"/>
        <w:jc w:val="both"/>
        <w:rPr>
          <w:lang w:val="en-GB"/>
        </w:rPr>
      </w:pPr>
      <w:r w:rsidRPr="00107B76">
        <w:rPr>
          <w:lang w:val="en-GB"/>
        </w:rPr>
        <w:t>Agency for Science, Innovation and Technology (hereinafter referred to as MITA) is designated as a Programme Operator and shall be responsible for preparing and implementing the Call.</w:t>
      </w:r>
      <w:r w:rsidR="00D612F7" w:rsidRPr="00107B76">
        <w:rPr>
          <w:lang w:val="en-GB"/>
        </w:rPr>
        <w:t xml:space="preserve"> Programme Partner is the Ministry of Economy and Innovation of the Republic of Lithuania and Innovation Norway</w:t>
      </w:r>
      <w:r w:rsidR="00EE1DA7" w:rsidRPr="00107B76">
        <w:rPr>
          <w:lang w:val="en-GB"/>
        </w:rPr>
        <w:t xml:space="preserve"> is Donor Programme Partner</w:t>
      </w:r>
      <w:r w:rsidR="000E7D78" w:rsidRPr="00107B76">
        <w:rPr>
          <w:lang w:val="en-GB"/>
        </w:rPr>
        <w:t>.</w:t>
      </w:r>
    </w:p>
    <w:p w14:paraId="7DDA8EFD" w14:textId="77777777" w:rsidR="00923DD5" w:rsidRPr="00107B76" w:rsidRDefault="00923DD5" w:rsidP="00AD73C5">
      <w:pPr>
        <w:pStyle w:val="ListParagraph"/>
        <w:numPr>
          <w:ilvl w:val="0"/>
          <w:numId w:val="3"/>
        </w:numPr>
        <w:tabs>
          <w:tab w:val="left" w:pos="0"/>
          <w:tab w:val="left" w:pos="993"/>
        </w:tabs>
        <w:ind w:left="0" w:firstLine="709"/>
        <w:contextualSpacing w:val="0"/>
        <w:jc w:val="both"/>
        <w:rPr>
          <w:lang w:val="en-GB"/>
        </w:rPr>
      </w:pPr>
      <w:r w:rsidRPr="00107B76">
        <w:rPr>
          <w:lang w:val="en-GB"/>
        </w:rPr>
        <w:t>The funding under the Call is available in the form of a non-repayable grant.</w:t>
      </w:r>
    </w:p>
    <w:p w14:paraId="47E6EACC" w14:textId="00CA6C3B" w:rsidR="00017C7F" w:rsidRPr="00107B76" w:rsidRDefault="00017C7F" w:rsidP="00AD73C5">
      <w:pPr>
        <w:pStyle w:val="ListParagraph"/>
        <w:numPr>
          <w:ilvl w:val="0"/>
          <w:numId w:val="3"/>
        </w:numPr>
        <w:tabs>
          <w:tab w:val="left" w:pos="0"/>
          <w:tab w:val="left" w:pos="851"/>
          <w:tab w:val="left" w:pos="993"/>
          <w:tab w:val="left" w:pos="1134"/>
        </w:tabs>
        <w:ind w:left="0" w:firstLine="709"/>
        <w:contextualSpacing w:val="0"/>
        <w:jc w:val="both"/>
        <w:rPr>
          <w:lang w:val="en-GB"/>
        </w:rPr>
      </w:pPr>
      <w:r w:rsidRPr="00107B76">
        <w:rPr>
          <w:lang w:val="en-GB"/>
        </w:rPr>
        <w:t xml:space="preserve">Projects selection will be based on competition. </w:t>
      </w:r>
    </w:p>
    <w:p w14:paraId="2D648D70" w14:textId="227E82DC" w:rsidR="007E5E43" w:rsidRPr="00107B76" w:rsidRDefault="00EE4828" w:rsidP="00AD73C5">
      <w:pPr>
        <w:pStyle w:val="ListParagraph"/>
        <w:numPr>
          <w:ilvl w:val="0"/>
          <w:numId w:val="3"/>
        </w:numPr>
        <w:tabs>
          <w:tab w:val="left" w:pos="0"/>
          <w:tab w:val="left" w:pos="851"/>
          <w:tab w:val="left" w:pos="993"/>
          <w:tab w:val="left" w:pos="1134"/>
        </w:tabs>
        <w:ind w:left="0" w:firstLine="709"/>
        <w:contextualSpacing w:val="0"/>
        <w:jc w:val="both"/>
        <w:rPr>
          <w:lang w:val="en-GB"/>
        </w:rPr>
      </w:pPr>
      <w:r w:rsidRPr="00107B76">
        <w:rPr>
          <w:lang w:val="en-GB"/>
        </w:rPr>
        <w:t>The total available amount for financing of projects under the Call is € 9 017</w:t>
      </w:r>
      <w:r w:rsidR="003E7772" w:rsidRPr="00107B76">
        <w:rPr>
          <w:lang w:val="en-GB"/>
        </w:rPr>
        <w:t> </w:t>
      </w:r>
      <w:r w:rsidRPr="00107B76">
        <w:rPr>
          <w:lang w:val="en-GB"/>
        </w:rPr>
        <w:t>647</w:t>
      </w:r>
      <w:r w:rsidR="003E7772" w:rsidRPr="00107B76">
        <w:rPr>
          <w:lang w:val="en-GB"/>
        </w:rPr>
        <w:t xml:space="preserve"> (€7 665 000 – Norway Grants contribution, € 1 352 647 – co-financing from Lithuanian budget)</w:t>
      </w:r>
      <w:r w:rsidRPr="00107B76">
        <w:rPr>
          <w:lang w:val="en-GB"/>
        </w:rPr>
        <w:t xml:space="preserve">, € 1 000 000 </w:t>
      </w:r>
      <w:r w:rsidR="00C42C18" w:rsidRPr="00107B76">
        <w:rPr>
          <w:lang w:val="en-GB"/>
        </w:rPr>
        <w:t xml:space="preserve">of which </w:t>
      </w:r>
      <w:r w:rsidRPr="00107B76">
        <w:rPr>
          <w:lang w:val="en-GB"/>
        </w:rPr>
        <w:t>will be allocated under the Small Grant Scheme (hereinafter referred to as the SGS1)</w:t>
      </w:r>
      <w:r w:rsidR="00260430" w:rsidRPr="00107B76">
        <w:rPr>
          <w:rStyle w:val="FootnoteReference"/>
          <w:lang w:val="en-GB"/>
        </w:rPr>
        <w:footnoteReference w:id="3"/>
      </w:r>
      <w:r w:rsidR="007E5E43" w:rsidRPr="00107B76">
        <w:rPr>
          <w:lang w:val="en-GB"/>
        </w:rPr>
        <w:t>.</w:t>
      </w:r>
    </w:p>
    <w:p w14:paraId="4A5CDA20" w14:textId="591F4C5C" w:rsidR="00203CBC" w:rsidRPr="00107B76" w:rsidRDefault="004E2C25" w:rsidP="00AD73C5">
      <w:pPr>
        <w:pStyle w:val="ListParagraph"/>
        <w:numPr>
          <w:ilvl w:val="0"/>
          <w:numId w:val="3"/>
        </w:numPr>
        <w:tabs>
          <w:tab w:val="left" w:pos="0"/>
          <w:tab w:val="left" w:pos="851"/>
          <w:tab w:val="left" w:pos="993"/>
          <w:tab w:val="left" w:pos="1134"/>
        </w:tabs>
        <w:ind w:left="0" w:firstLine="709"/>
        <w:contextualSpacing w:val="0"/>
        <w:jc w:val="both"/>
        <w:rPr>
          <w:lang w:val="en-GB"/>
        </w:rPr>
      </w:pPr>
      <w:r w:rsidRPr="00107B76">
        <w:rPr>
          <w:lang w:val="en-GB"/>
        </w:rPr>
        <w:lastRenderedPageBreak/>
        <w:t>The aim of the Call</w:t>
      </w:r>
      <w:r w:rsidR="00AF2E72" w:rsidRPr="00107B76">
        <w:rPr>
          <w:lang w:val="en-GB"/>
        </w:rPr>
        <w:t xml:space="preserve"> is</w:t>
      </w:r>
      <w:r w:rsidRPr="00107B76">
        <w:rPr>
          <w:lang w:val="en-GB"/>
        </w:rPr>
        <w:t xml:space="preserve"> </w:t>
      </w:r>
      <w:r w:rsidR="00C2684C" w:rsidRPr="00107B76">
        <w:rPr>
          <w:lang w:val="en-GB"/>
        </w:rPr>
        <w:t xml:space="preserve">to increase </w:t>
      </w:r>
      <w:r w:rsidR="00863B25" w:rsidRPr="00107B76">
        <w:rPr>
          <w:lang w:val="en-GB"/>
        </w:rPr>
        <w:t>competitiveness</w:t>
      </w:r>
      <w:r w:rsidR="00C2684C" w:rsidRPr="00107B76">
        <w:rPr>
          <w:lang w:val="en-GB"/>
        </w:rPr>
        <w:t xml:space="preserve"> of </w:t>
      </w:r>
      <w:r w:rsidR="00863B25" w:rsidRPr="00107B76">
        <w:rPr>
          <w:lang w:val="en-GB"/>
        </w:rPr>
        <w:t>Lithuanian</w:t>
      </w:r>
      <w:r w:rsidR="00C2684C" w:rsidRPr="00107B76">
        <w:rPr>
          <w:lang w:val="en-GB"/>
        </w:rPr>
        <w:t xml:space="preserve"> enterprises in </w:t>
      </w:r>
      <w:r w:rsidR="00863B25" w:rsidRPr="00107B76">
        <w:rPr>
          <w:lang w:val="en-GB"/>
        </w:rPr>
        <w:t xml:space="preserve">the field of </w:t>
      </w:r>
      <w:r w:rsidR="00C2684C" w:rsidRPr="00107B76">
        <w:rPr>
          <w:lang w:val="en-GB"/>
        </w:rPr>
        <w:t>green industry innovation</w:t>
      </w:r>
      <w:r w:rsidR="00863B25" w:rsidRPr="00107B76">
        <w:rPr>
          <w:lang w:val="en-GB"/>
        </w:rPr>
        <w:t>.</w:t>
      </w:r>
    </w:p>
    <w:p w14:paraId="4E0028CB" w14:textId="21E3FE02" w:rsidR="003F7961" w:rsidRPr="00107B76" w:rsidRDefault="00AA5551"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With the aim</w:t>
      </w:r>
      <w:r w:rsidR="00236BEB" w:rsidRPr="00107B76">
        <w:rPr>
          <w:lang w:val="en-GB"/>
        </w:rPr>
        <w:t xml:space="preserve"> to reduce </w:t>
      </w:r>
      <w:r w:rsidR="00E05C31" w:rsidRPr="00107B76">
        <w:rPr>
          <w:lang w:val="en-GB"/>
        </w:rPr>
        <w:t>a negative impact on the environment</w:t>
      </w:r>
      <w:r w:rsidRPr="00107B76">
        <w:rPr>
          <w:lang w:val="en-GB"/>
        </w:rPr>
        <w:t xml:space="preserve">, </w:t>
      </w:r>
      <w:r w:rsidR="00F65800" w:rsidRPr="00107B76">
        <w:rPr>
          <w:lang w:val="en-GB"/>
        </w:rPr>
        <w:t xml:space="preserve">the Call will support </w:t>
      </w:r>
      <w:r w:rsidR="0004047C" w:rsidRPr="00107B76">
        <w:rPr>
          <w:lang w:val="en-GB"/>
        </w:rPr>
        <w:t>development</w:t>
      </w:r>
      <w:r w:rsidR="006C6938" w:rsidRPr="00107B76">
        <w:rPr>
          <w:lang w:val="en-GB"/>
        </w:rPr>
        <w:t xml:space="preserve">, </w:t>
      </w:r>
      <w:r w:rsidR="0058238C" w:rsidRPr="00107B76">
        <w:rPr>
          <w:lang w:val="en-GB"/>
        </w:rPr>
        <w:t>commerciali</w:t>
      </w:r>
      <w:r w:rsidR="009B213C" w:rsidRPr="00107B76">
        <w:rPr>
          <w:lang w:val="en-GB"/>
        </w:rPr>
        <w:t>s</w:t>
      </w:r>
      <w:r w:rsidR="0058238C" w:rsidRPr="00107B76">
        <w:rPr>
          <w:lang w:val="en-GB"/>
        </w:rPr>
        <w:t>ation</w:t>
      </w:r>
      <w:r w:rsidR="006C6938" w:rsidRPr="00107B76">
        <w:rPr>
          <w:lang w:val="en-GB"/>
        </w:rPr>
        <w:t xml:space="preserve"> and </w:t>
      </w:r>
      <w:r w:rsidR="00C728C9" w:rsidRPr="00107B76">
        <w:rPr>
          <w:lang w:val="en-GB"/>
        </w:rPr>
        <w:t>application</w:t>
      </w:r>
      <w:r w:rsidR="006C6938" w:rsidRPr="00107B76">
        <w:rPr>
          <w:lang w:val="en-GB"/>
        </w:rPr>
        <w:t xml:space="preserve"> of </w:t>
      </w:r>
      <w:r w:rsidR="0004047C" w:rsidRPr="00107B76">
        <w:rPr>
          <w:lang w:val="en-GB"/>
        </w:rPr>
        <w:t>environmentally friendly product</w:t>
      </w:r>
      <w:r w:rsidR="006C6938" w:rsidRPr="00107B76">
        <w:rPr>
          <w:lang w:val="en-GB"/>
        </w:rPr>
        <w:t>s</w:t>
      </w:r>
      <w:r w:rsidR="0004047C" w:rsidRPr="00107B76">
        <w:rPr>
          <w:lang w:val="en-GB"/>
        </w:rPr>
        <w:t xml:space="preserve"> and technologies</w:t>
      </w:r>
      <w:r w:rsidR="006C6938" w:rsidRPr="00107B76">
        <w:rPr>
          <w:lang w:val="en-GB"/>
        </w:rPr>
        <w:t xml:space="preserve"> </w:t>
      </w:r>
      <w:r w:rsidRPr="00107B76">
        <w:rPr>
          <w:lang w:val="en-GB"/>
        </w:rPr>
        <w:t>in all industry sectors</w:t>
      </w:r>
      <w:r w:rsidR="006C6938" w:rsidRPr="00107B76">
        <w:rPr>
          <w:lang w:val="en-GB"/>
        </w:rPr>
        <w:t>.</w:t>
      </w:r>
    </w:p>
    <w:p w14:paraId="28039DB1" w14:textId="44B17D16" w:rsidR="00203CBC" w:rsidRPr="00107B76" w:rsidRDefault="00B47711"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Eligible activities under the Call</w:t>
      </w:r>
      <w:r w:rsidR="00203CBC" w:rsidRPr="00107B76">
        <w:rPr>
          <w:lang w:val="en-GB"/>
        </w:rPr>
        <w:t xml:space="preserve">: </w:t>
      </w:r>
    </w:p>
    <w:p w14:paraId="73BE668F" w14:textId="4F134E43" w:rsidR="00C03488" w:rsidRPr="00107B76" w:rsidRDefault="00C03488" w:rsidP="00AD73C5">
      <w:pPr>
        <w:pStyle w:val="ListParagraph"/>
        <w:numPr>
          <w:ilvl w:val="1"/>
          <w:numId w:val="3"/>
        </w:numPr>
        <w:ind w:left="0" w:firstLine="709"/>
        <w:contextualSpacing w:val="0"/>
        <w:jc w:val="both"/>
        <w:rPr>
          <w:lang w:val="en-GB"/>
        </w:rPr>
      </w:pPr>
      <w:r w:rsidRPr="00107B76">
        <w:rPr>
          <w:lang w:val="en-GB"/>
        </w:rPr>
        <w:t>Development of new green products/ technologies.</w:t>
      </w:r>
      <w:r w:rsidR="00B96C56" w:rsidRPr="00107B76">
        <w:rPr>
          <w:lang w:val="en-GB"/>
        </w:rPr>
        <w:t xml:space="preserve"> Funding under </w:t>
      </w:r>
      <w:r w:rsidR="0058238C" w:rsidRPr="00107B76">
        <w:rPr>
          <w:lang w:val="en-GB"/>
        </w:rPr>
        <w:t>the</w:t>
      </w:r>
      <w:r w:rsidR="00B96C56" w:rsidRPr="00107B76">
        <w:rPr>
          <w:lang w:val="en-GB"/>
        </w:rPr>
        <w:t xml:space="preserve"> </w:t>
      </w:r>
      <w:r w:rsidR="00D92D6B" w:rsidRPr="00107B76">
        <w:rPr>
          <w:lang w:val="en-GB"/>
        </w:rPr>
        <w:t>C</w:t>
      </w:r>
      <w:r w:rsidR="00B96C56" w:rsidRPr="00107B76">
        <w:rPr>
          <w:lang w:val="en-GB"/>
        </w:rPr>
        <w:t>all</w:t>
      </w:r>
      <w:r w:rsidR="00D92D6B" w:rsidRPr="00107B76">
        <w:rPr>
          <w:lang w:val="en-GB"/>
        </w:rPr>
        <w:t xml:space="preserve"> </w:t>
      </w:r>
      <w:r w:rsidR="00B96C56" w:rsidRPr="00107B76">
        <w:rPr>
          <w:lang w:val="en-GB"/>
        </w:rPr>
        <w:t xml:space="preserve">will be </w:t>
      </w:r>
      <w:r w:rsidR="00D92D6B" w:rsidRPr="00107B76">
        <w:rPr>
          <w:lang w:val="en-GB"/>
        </w:rPr>
        <w:t xml:space="preserve">provided for projects </w:t>
      </w:r>
      <w:r w:rsidR="008E26A1" w:rsidRPr="00107B76">
        <w:rPr>
          <w:lang w:val="en-GB"/>
        </w:rPr>
        <w:t xml:space="preserve">aiming at development of, </w:t>
      </w:r>
      <w:r w:rsidR="003B7709" w:rsidRPr="00107B76">
        <w:rPr>
          <w:lang w:val="en-GB"/>
        </w:rPr>
        <w:t>for example, new bio-based products, bi</w:t>
      </w:r>
      <w:r w:rsidR="00FF4A58" w:rsidRPr="00107B76">
        <w:rPr>
          <w:lang w:val="en-GB"/>
        </w:rPr>
        <w:t>o</w:t>
      </w:r>
      <w:r w:rsidR="003B7709" w:rsidRPr="00107B76">
        <w:rPr>
          <w:lang w:val="en-GB"/>
        </w:rPr>
        <w:t xml:space="preserve">technologies, </w:t>
      </w:r>
      <w:r w:rsidR="00FF4A58" w:rsidRPr="00107B76">
        <w:rPr>
          <w:lang w:val="en-GB"/>
        </w:rPr>
        <w:t xml:space="preserve">new products from </w:t>
      </w:r>
      <w:r w:rsidR="009B213C" w:rsidRPr="00107B76">
        <w:rPr>
          <w:lang w:val="en-GB"/>
        </w:rPr>
        <w:t>recycled</w:t>
      </w:r>
      <w:r w:rsidR="00FF4A58" w:rsidRPr="00107B76">
        <w:rPr>
          <w:lang w:val="en-GB"/>
        </w:rPr>
        <w:t xml:space="preserve"> material</w:t>
      </w:r>
      <w:r w:rsidR="00AB21D7" w:rsidRPr="00107B76">
        <w:rPr>
          <w:lang w:val="en-GB"/>
        </w:rPr>
        <w:t>s</w:t>
      </w:r>
      <w:r w:rsidR="00BF4F3D" w:rsidRPr="00107B76">
        <w:rPr>
          <w:lang w:val="en-GB"/>
        </w:rPr>
        <w:t xml:space="preserve">, </w:t>
      </w:r>
      <w:r w:rsidR="009B213C" w:rsidRPr="00107B76">
        <w:rPr>
          <w:lang w:val="en-GB"/>
        </w:rPr>
        <w:t>environmentally</w:t>
      </w:r>
      <w:r w:rsidR="00BF4F3D" w:rsidRPr="00107B76">
        <w:rPr>
          <w:lang w:val="en-GB"/>
        </w:rPr>
        <w:t xml:space="preserve"> friendly technologies or new ICT products or technologies </w:t>
      </w:r>
      <w:r w:rsidR="00C42C18" w:rsidRPr="00107B76">
        <w:rPr>
          <w:lang w:val="en-GB"/>
        </w:rPr>
        <w:t>enabling</w:t>
      </w:r>
      <w:r w:rsidR="00DF52C3" w:rsidRPr="00107B76">
        <w:rPr>
          <w:lang w:val="en-GB"/>
        </w:rPr>
        <w:t xml:space="preserve"> </w:t>
      </w:r>
      <w:r w:rsidR="00690A48" w:rsidRPr="00107B76">
        <w:rPr>
          <w:lang w:val="en-GB"/>
        </w:rPr>
        <w:t xml:space="preserve">modernisation of </w:t>
      </w:r>
      <w:r w:rsidR="00F70939" w:rsidRPr="00107B76">
        <w:rPr>
          <w:lang w:val="en-GB"/>
        </w:rPr>
        <w:t>production processes</w:t>
      </w:r>
      <w:r w:rsidR="00031AF1" w:rsidRPr="00107B76">
        <w:rPr>
          <w:lang w:val="en-GB"/>
        </w:rPr>
        <w:t xml:space="preserve"> by reducing their negative impact on the environment (</w:t>
      </w:r>
      <w:r w:rsidR="0058238C" w:rsidRPr="00107B76">
        <w:rPr>
          <w:lang w:val="en-GB"/>
        </w:rPr>
        <w:t xml:space="preserve">for </w:t>
      </w:r>
      <w:r w:rsidR="009B213C" w:rsidRPr="00107B76">
        <w:rPr>
          <w:lang w:val="en-GB"/>
        </w:rPr>
        <w:t>example</w:t>
      </w:r>
      <w:r w:rsidR="0058238C" w:rsidRPr="00107B76">
        <w:rPr>
          <w:lang w:val="en-GB"/>
        </w:rPr>
        <w:t>,</w:t>
      </w:r>
      <w:r w:rsidR="007359CA" w:rsidRPr="00107B76">
        <w:rPr>
          <w:lang w:val="en-GB"/>
        </w:rPr>
        <w:t xml:space="preserve"> with the help of</w:t>
      </w:r>
      <w:r w:rsidR="0058238C" w:rsidRPr="00107B76">
        <w:rPr>
          <w:lang w:val="en-GB"/>
        </w:rPr>
        <w:t xml:space="preserve"> </w:t>
      </w:r>
      <w:r w:rsidR="009B213C" w:rsidRPr="00107B76">
        <w:rPr>
          <w:lang w:val="en-GB"/>
        </w:rPr>
        <w:t>digitalization</w:t>
      </w:r>
      <w:r w:rsidR="0058238C" w:rsidRPr="00107B76">
        <w:rPr>
          <w:lang w:val="en-GB"/>
        </w:rPr>
        <w:t>, automation, robotization).</w:t>
      </w:r>
    </w:p>
    <w:p w14:paraId="11BEEC75" w14:textId="46C4C5CA" w:rsidR="00B47711" w:rsidRPr="00107B76" w:rsidRDefault="00701484" w:rsidP="00AD73C5">
      <w:pPr>
        <w:pStyle w:val="ListParagraph"/>
        <w:numPr>
          <w:ilvl w:val="1"/>
          <w:numId w:val="3"/>
        </w:numPr>
        <w:ind w:left="0" w:firstLine="709"/>
        <w:contextualSpacing w:val="0"/>
        <w:jc w:val="both"/>
        <w:rPr>
          <w:lang w:val="en-GB"/>
        </w:rPr>
      </w:pPr>
      <w:r w:rsidRPr="00107B76">
        <w:rPr>
          <w:lang w:val="en-GB"/>
        </w:rPr>
        <w:t>Commercialisation of new green products/ technologies (new-to-the-market).</w:t>
      </w:r>
      <w:r w:rsidR="00734A41" w:rsidRPr="00107B76">
        <w:rPr>
          <w:lang w:val="en-GB"/>
        </w:rPr>
        <w:t xml:space="preserve"> This activity shall be implemented together with the activity indicated in </w:t>
      </w:r>
      <w:r w:rsidR="00DB7033" w:rsidRPr="00107B76">
        <w:rPr>
          <w:lang w:val="en-GB"/>
        </w:rPr>
        <w:t>s</w:t>
      </w:r>
      <w:r w:rsidR="008361A5" w:rsidRPr="00107B76">
        <w:rPr>
          <w:lang w:val="en-GB"/>
        </w:rPr>
        <w:t>ub</w:t>
      </w:r>
      <w:r w:rsidR="00FF06A0" w:rsidRPr="00107B76">
        <w:rPr>
          <w:lang w:val="en-GB"/>
        </w:rPr>
        <w:t xml:space="preserve">paragraph </w:t>
      </w:r>
      <w:r w:rsidR="00734A41" w:rsidRPr="00107B76">
        <w:rPr>
          <w:lang w:val="en-GB"/>
        </w:rPr>
        <w:t>13.1</w:t>
      </w:r>
      <w:r w:rsidR="00B81CEA" w:rsidRPr="00107B76">
        <w:rPr>
          <w:lang w:val="en-GB"/>
        </w:rPr>
        <w:t>.</w:t>
      </w:r>
    </w:p>
    <w:p w14:paraId="603ED7C7" w14:textId="3476E453" w:rsidR="00743DEC" w:rsidRPr="00107B76" w:rsidRDefault="00C51AA5" w:rsidP="00AD73C5">
      <w:pPr>
        <w:pStyle w:val="ListParagraph"/>
        <w:numPr>
          <w:ilvl w:val="1"/>
          <w:numId w:val="3"/>
        </w:numPr>
        <w:ind w:left="0" w:firstLine="709"/>
        <w:contextualSpacing w:val="0"/>
        <w:jc w:val="both"/>
        <w:rPr>
          <w:lang w:val="en-GB"/>
        </w:rPr>
      </w:pPr>
      <w:r w:rsidRPr="00107B76">
        <w:rPr>
          <w:lang w:val="en-GB"/>
        </w:rPr>
        <w:t>Application of new products/ technologies</w:t>
      </w:r>
      <w:r w:rsidR="00743DEC" w:rsidRPr="00107B76">
        <w:rPr>
          <w:lang w:val="en-GB"/>
        </w:rPr>
        <w:t>. Funding will be provided for</w:t>
      </w:r>
      <w:r w:rsidR="002475A1" w:rsidRPr="00107B76">
        <w:rPr>
          <w:lang w:val="en-GB"/>
        </w:rPr>
        <w:t xml:space="preserve"> </w:t>
      </w:r>
      <w:r w:rsidR="00743DEC" w:rsidRPr="00107B76">
        <w:rPr>
          <w:lang w:val="en-GB"/>
        </w:rPr>
        <w:t>application of new products and technologies</w:t>
      </w:r>
      <w:r w:rsidR="00971D3F" w:rsidRPr="00107B76">
        <w:rPr>
          <w:lang w:val="en-GB"/>
        </w:rPr>
        <w:t xml:space="preserve"> </w:t>
      </w:r>
      <w:r w:rsidR="00543FAD" w:rsidRPr="00107B76">
        <w:rPr>
          <w:lang w:val="en-GB"/>
        </w:rPr>
        <w:t>that would</w:t>
      </w:r>
      <w:r w:rsidR="00D17AFF" w:rsidRPr="00107B76">
        <w:rPr>
          <w:lang w:val="en-GB"/>
        </w:rPr>
        <w:t xml:space="preserve"> help</w:t>
      </w:r>
      <w:r w:rsidR="00543FAD" w:rsidRPr="00107B76">
        <w:rPr>
          <w:lang w:val="en-GB"/>
        </w:rPr>
        <w:t xml:space="preserve">, </w:t>
      </w:r>
      <w:r w:rsidR="00971D3F" w:rsidRPr="00107B76">
        <w:rPr>
          <w:lang w:val="en-GB"/>
        </w:rPr>
        <w:t xml:space="preserve">for example, </w:t>
      </w:r>
      <w:r w:rsidR="00D17AFF" w:rsidRPr="00107B76">
        <w:rPr>
          <w:lang w:val="en-GB"/>
        </w:rPr>
        <w:t xml:space="preserve">to </w:t>
      </w:r>
      <w:r w:rsidR="00971D3F" w:rsidRPr="00107B76">
        <w:rPr>
          <w:lang w:val="en-GB"/>
        </w:rPr>
        <w:t xml:space="preserve">modernize production </w:t>
      </w:r>
      <w:r w:rsidR="002475A1" w:rsidRPr="00107B76">
        <w:rPr>
          <w:lang w:val="en-GB"/>
        </w:rPr>
        <w:t xml:space="preserve">lines, </w:t>
      </w:r>
      <w:r w:rsidR="00D17AFF" w:rsidRPr="00107B76">
        <w:rPr>
          <w:lang w:val="en-GB"/>
        </w:rPr>
        <w:t>to reduce CO2 emissions</w:t>
      </w:r>
      <w:r w:rsidR="00032F60" w:rsidRPr="00107B76">
        <w:rPr>
          <w:lang w:val="en-GB"/>
        </w:rPr>
        <w:t xml:space="preserve">/ energy consumption, </w:t>
      </w:r>
      <w:r w:rsidR="004A43A3" w:rsidRPr="00107B76">
        <w:rPr>
          <w:lang w:val="en-GB"/>
        </w:rPr>
        <w:t>encourage zero-waste manufacturing</w:t>
      </w:r>
      <w:r w:rsidR="0073447E" w:rsidRPr="00107B76">
        <w:rPr>
          <w:lang w:val="en-GB"/>
        </w:rPr>
        <w:t xml:space="preserve"> or </w:t>
      </w:r>
      <w:r w:rsidR="00A9139C" w:rsidRPr="00107B76">
        <w:rPr>
          <w:lang w:val="en-GB"/>
        </w:rPr>
        <w:t>re-use of waste.</w:t>
      </w:r>
    </w:p>
    <w:p w14:paraId="2FFD2895" w14:textId="1FB1A92B" w:rsidR="000335D1" w:rsidRPr="00107B76" w:rsidRDefault="001B3149"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 xml:space="preserve">The Call launch date </w:t>
      </w:r>
      <w:r w:rsidR="00A559FF" w:rsidRPr="00107B76">
        <w:rPr>
          <w:lang w:val="en-GB"/>
        </w:rPr>
        <w:t>and an application deadline are</w:t>
      </w:r>
      <w:r w:rsidRPr="00107B76">
        <w:rPr>
          <w:lang w:val="en-GB"/>
        </w:rPr>
        <w:t xml:space="preserve"> </w:t>
      </w:r>
      <w:r w:rsidR="00EE385E" w:rsidRPr="00107B76">
        <w:rPr>
          <w:lang w:val="en-GB"/>
        </w:rPr>
        <w:t>specified in the Call announcement.</w:t>
      </w:r>
      <w:r w:rsidRPr="00107B76">
        <w:rPr>
          <w:lang w:val="en-GB"/>
        </w:rPr>
        <w:t xml:space="preserve"> </w:t>
      </w:r>
    </w:p>
    <w:p w14:paraId="5C8CA569" w14:textId="4710B688" w:rsidR="001D49C5" w:rsidRPr="00107B76" w:rsidRDefault="001D49C5" w:rsidP="00586D01">
      <w:pPr>
        <w:jc w:val="center"/>
        <w:rPr>
          <w:b/>
          <w:lang w:val="en-GB"/>
        </w:rPr>
      </w:pPr>
    </w:p>
    <w:p w14:paraId="6F8C44B6" w14:textId="621B3F8D" w:rsidR="000B43F0" w:rsidRPr="00107B76" w:rsidRDefault="00940666" w:rsidP="00C24203">
      <w:pPr>
        <w:autoSpaceDE w:val="0"/>
        <w:autoSpaceDN w:val="0"/>
        <w:adjustRightInd w:val="0"/>
        <w:jc w:val="center"/>
        <w:rPr>
          <w:color w:val="000000"/>
          <w:sz w:val="23"/>
          <w:szCs w:val="23"/>
          <w:lang w:val="en-GB"/>
        </w:rPr>
      </w:pPr>
      <w:bookmarkStart w:id="1" w:name="_Hlk22134690"/>
      <w:r w:rsidRPr="00107B76">
        <w:rPr>
          <w:b/>
          <w:bCs/>
          <w:color w:val="000000"/>
          <w:sz w:val="23"/>
          <w:szCs w:val="23"/>
          <w:lang w:val="en-GB"/>
        </w:rPr>
        <w:t>CHAPTER 2</w:t>
      </w:r>
    </w:p>
    <w:p w14:paraId="072BDAF5" w14:textId="3680B8AB" w:rsidR="00192832" w:rsidRPr="00107B76" w:rsidRDefault="00BB360E" w:rsidP="00F70854">
      <w:pPr>
        <w:jc w:val="center"/>
        <w:rPr>
          <w:b/>
          <w:lang w:val="en-GB"/>
        </w:rPr>
      </w:pPr>
      <w:r w:rsidRPr="00107B76">
        <w:rPr>
          <w:b/>
          <w:bCs/>
          <w:lang w:val="en-GB"/>
        </w:rPr>
        <w:t xml:space="preserve">REQUIREMENTS FOR </w:t>
      </w:r>
      <w:r w:rsidR="00031269" w:rsidRPr="00107B76">
        <w:rPr>
          <w:b/>
          <w:bCs/>
          <w:lang w:val="en-GB"/>
        </w:rPr>
        <w:t>APPLICANTS</w:t>
      </w:r>
      <w:r w:rsidR="00FF1FA4" w:rsidRPr="00107B76">
        <w:rPr>
          <w:b/>
          <w:bCs/>
          <w:lang w:val="en-GB"/>
        </w:rPr>
        <w:t>, PROJECTS PROMOTERS</w:t>
      </w:r>
      <w:r w:rsidRPr="00107B76">
        <w:rPr>
          <w:b/>
          <w:bCs/>
          <w:lang w:val="en-GB"/>
        </w:rPr>
        <w:t xml:space="preserve"> AND PART</w:t>
      </w:r>
      <w:r w:rsidR="0014037A" w:rsidRPr="00107B76">
        <w:rPr>
          <w:b/>
          <w:bCs/>
          <w:lang w:val="en-GB"/>
        </w:rPr>
        <w:t>N</w:t>
      </w:r>
      <w:r w:rsidRPr="00107B76">
        <w:rPr>
          <w:b/>
          <w:bCs/>
          <w:lang w:val="en-GB"/>
        </w:rPr>
        <w:t>ERS</w:t>
      </w:r>
    </w:p>
    <w:p w14:paraId="598F35C6" w14:textId="77777777" w:rsidR="000B43F0" w:rsidRPr="00107B76" w:rsidRDefault="000B43F0" w:rsidP="00F70854">
      <w:pPr>
        <w:jc w:val="center"/>
        <w:rPr>
          <w:b/>
          <w:lang w:val="en-GB"/>
        </w:rPr>
      </w:pPr>
    </w:p>
    <w:bookmarkEnd w:id="1"/>
    <w:p w14:paraId="1E9C30C9" w14:textId="21B02039" w:rsidR="001F0060" w:rsidRPr="00107B76" w:rsidRDefault="00CF612A" w:rsidP="001F0060">
      <w:pPr>
        <w:pStyle w:val="ListParagraph"/>
        <w:numPr>
          <w:ilvl w:val="0"/>
          <w:numId w:val="3"/>
        </w:numPr>
        <w:tabs>
          <w:tab w:val="left" w:pos="1134"/>
          <w:tab w:val="left" w:pos="1276"/>
        </w:tabs>
        <w:ind w:left="0" w:firstLine="709"/>
        <w:contextualSpacing w:val="0"/>
        <w:jc w:val="both"/>
        <w:rPr>
          <w:lang w:val="en-GB"/>
        </w:rPr>
      </w:pPr>
      <w:r w:rsidRPr="00107B76">
        <w:rPr>
          <w:lang w:val="en-GB"/>
        </w:rPr>
        <w:t>Eligible applicants under</w:t>
      </w:r>
      <w:r w:rsidR="00B232C7" w:rsidRPr="00107B76">
        <w:rPr>
          <w:lang w:val="en-GB"/>
        </w:rPr>
        <w:t xml:space="preserve"> the Call</w:t>
      </w:r>
      <w:r w:rsidR="001F0060" w:rsidRPr="00107B76">
        <w:rPr>
          <w:lang w:val="en-GB"/>
        </w:rPr>
        <w:t xml:space="preserve"> are</w:t>
      </w:r>
      <w:r w:rsidR="00B232C7" w:rsidRPr="00107B76">
        <w:rPr>
          <w:lang w:val="en-GB"/>
        </w:rPr>
        <w:t xml:space="preserve"> </w:t>
      </w:r>
      <w:r w:rsidR="001F0060" w:rsidRPr="00107B76">
        <w:rPr>
          <w:lang w:val="en-GB"/>
        </w:rPr>
        <w:t>SMEs and large enterprises</w:t>
      </w:r>
      <w:r w:rsidR="0022452E" w:rsidRPr="00107B76">
        <w:rPr>
          <w:lang w:val="en-GB"/>
        </w:rPr>
        <w:t>,</w:t>
      </w:r>
      <w:r w:rsidR="00B13D25" w:rsidRPr="00107B76">
        <w:rPr>
          <w:rFonts w:eastAsiaTheme="minorEastAsia"/>
          <w:lang w:val="en-GB" w:eastAsia="en-US"/>
        </w:rPr>
        <w:t xml:space="preserve"> with no more than 25% public ownership</w:t>
      </w:r>
      <w:r w:rsidR="0022452E" w:rsidRPr="00107B76">
        <w:rPr>
          <w:rFonts w:eastAsiaTheme="minorEastAsia"/>
          <w:lang w:val="en-GB" w:eastAsia="en-US"/>
        </w:rPr>
        <w:t>,</w:t>
      </w:r>
      <w:r w:rsidR="00B13D25" w:rsidRPr="00107B76">
        <w:rPr>
          <w:lang w:val="en-GB"/>
        </w:rPr>
        <w:t xml:space="preserve"> </w:t>
      </w:r>
      <w:r w:rsidR="006D6D77" w:rsidRPr="00107B76">
        <w:rPr>
          <w:lang w:val="en-GB"/>
        </w:rPr>
        <w:t xml:space="preserve">established a legal person in </w:t>
      </w:r>
      <w:r w:rsidR="00C51743" w:rsidRPr="00107B76">
        <w:rPr>
          <w:lang w:val="en-GB"/>
        </w:rPr>
        <w:t xml:space="preserve">one of the </w:t>
      </w:r>
      <w:r w:rsidR="006D6D77" w:rsidRPr="00107B76">
        <w:rPr>
          <w:lang w:val="en-GB"/>
        </w:rPr>
        <w:t>EU Member state</w:t>
      </w:r>
      <w:r w:rsidR="00C51743" w:rsidRPr="00107B76">
        <w:rPr>
          <w:lang w:val="en-GB"/>
        </w:rPr>
        <w:t>s</w:t>
      </w:r>
      <w:r w:rsidR="00411E28" w:rsidRPr="00107B76">
        <w:rPr>
          <w:lang w:val="en-GB"/>
        </w:rPr>
        <w:t xml:space="preserve"> or EEA EFTA</w:t>
      </w:r>
      <w:r w:rsidR="00A559FF" w:rsidRPr="00107B76">
        <w:rPr>
          <w:rStyle w:val="FootnoteReference"/>
          <w:lang w:val="en-GB"/>
        </w:rPr>
        <w:footnoteReference w:id="4"/>
      </w:r>
      <w:r w:rsidR="00411E28" w:rsidRPr="00107B76">
        <w:rPr>
          <w:lang w:val="en-GB"/>
        </w:rPr>
        <w:t xml:space="preserve"> states</w:t>
      </w:r>
      <w:r w:rsidR="00B14338" w:rsidRPr="00107B76">
        <w:rPr>
          <w:lang w:val="en-GB"/>
        </w:rPr>
        <w:t>.</w:t>
      </w:r>
    </w:p>
    <w:p w14:paraId="4339A0E0" w14:textId="250619A4" w:rsidR="00670410" w:rsidRPr="00107B76" w:rsidRDefault="001F0060" w:rsidP="00832A56">
      <w:pPr>
        <w:pStyle w:val="ListParagraph"/>
        <w:numPr>
          <w:ilvl w:val="0"/>
          <w:numId w:val="3"/>
        </w:numPr>
        <w:tabs>
          <w:tab w:val="left" w:pos="1134"/>
          <w:tab w:val="left" w:pos="1276"/>
        </w:tabs>
        <w:ind w:left="0" w:firstLine="709"/>
        <w:contextualSpacing w:val="0"/>
        <w:jc w:val="both"/>
        <w:rPr>
          <w:lang w:val="en-GB"/>
        </w:rPr>
      </w:pPr>
      <w:r w:rsidRPr="00107B76">
        <w:rPr>
          <w:lang w:val="en-GB"/>
        </w:rPr>
        <w:t xml:space="preserve"> </w:t>
      </w:r>
      <w:r w:rsidR="00832A56" w:rsidRPr="00107B76">
        <w:rPr>
          <w:lang w:val="en-GB"/>
        </w:rPr>
        <w:t xml:space="preserve">Under the Small Grant Scheme (SGS1) and for Projects which implement activities for </w:t>
      </w:r>
      <w:r w:rsidR="00832A56" w:rsidRPr="00107B76">
        <w:rPr>
          <w:i/>
          <w:iCs/>
          <w:lang w:val="en-GB"/>
        </w:rPr>
        <w:t xml:space="preserve">Application of new products/ technologies </w:t>
      </w:r>
      <w:r w:rsidR="00832A56" w:rsidRPr="00107B76">
        <w:rPr>
          <w:lang w:val="en-GB"/>
        </w:rPr>
        <w:t>(see subparagraph 13.</w:t>
      </w:r>
      <w:r w:rsidR="00E737EF" w:rsidRPr="00107B76">
        <w:rPr>
          <w:lang w:val="en-GB"/>
        </w:rPr>
        <w:t>3</w:t>
      </w:r>
      <w:r w:rsidR="00832A56" w:rsidRPr="00107B76">
        <w:rPr>
          <w:lang w:val="en-GB"/>
        </w:rPr>
        <w:t xml:space="preserve">) eligible applicants are SMEs as defined in the </w:t>
      </w:r>
      <w:r w:rsidR="00FF1FA4" w:rsidRPr="00107B76">
        <w:rPr>
          <w:lang w:val="en-GB"/>
        </w:rPr>
        <w:t>Paragraph 5.19. of the Call</w:t>
      </w:r>
      <w:r w:rsidR="00D21DFF" w:rsidRPr="00107B76">
        <w:rPr>
          <w:lang w:val="en-GB"/>
        </w:rPr>
        <w:t>.</w:t>
      </w:r>
    </w:p>
    <w:p w14:paraId="6CA7768B" w14:textId="55A0E338" w:rsidR="00025664" w:rsidRPr="00107B76" w:rsidRDefault="00025664" w:rsidP="00832A56">
      <w:pPr>
        <w:pStyle w:val="ListParagraph"/>
        <w:numPr>
          <w:ilvl w:val="0"/>
          <w:numId w:val="3"/>
        </w:numPr>
        <w:tabs>
          <w:tab w:val="left" w:pos="1134"/>
          <w:tab w:val="left" w:pos="1276"/>
        </w:tabs>
        <w:ind w:left="0" w:firstLine="709"/>
        <w:contextualSpacing w:val="0"/>
        <w:jc w:val="both"/>
        <w:rPr>
          <w:lang w:val="en-GB"/>
        </w:rPr>
      </w:pPr>
      <w:r w:rsidRPr="00107B76">
        <w:rPr>
          <w:lang w:val="en-GB"/>
        </w:rPr>
        <w:t>After a project is approved for funding under the Call</w:t>
      </w:r>
      <w:r w:rsidR="00B13D25" w:rsidRPr="00107B76">
        <w:rPr>
          <w:lang w:val="en-GB"/>
        </w:rPr>
        <w:t xml:space="preserve"> and a project contract is </w:t>
      </w:r>
      <w:r w:rsidR="0022452E" w:rsidRPr="00107B76">
        <w:rPr>
          <w:rFonts w:eastAsiaTheme="minorEastAsia"/>
          <w:lang w:val="en-GB" w:eastAsia="en-US"/>
        </w:rPr>
        <w:t>concluded</w:t>
      </w:r>
      <w:r w:rsidR="00C51743" w:rsidRPr="00107B76">
        <w:rPr>
          <w:lang w:val="en-GB"/>
        </w:rPr>
        <w:t>,</w:t>
      </w:r>
      <w:r w:rsidRPr="00107B76">
        <w:rPr>
          <w:lang w:val="en-GB"/>
        </w:rPr>
        <w:t xml:space="preserve"> an applicant becomes a Project promoter as it is defined in the Paragraph 1 Article 7.2 of the Norway Grants Regulation. </w:t>
      </w:r>
      <w:r w:rsidR="00C51743" w:rsidRPr="00107B76">
        <w:rPr>
          <w:lang w:val="en-GB"/>
        </w:rPr>
        <w:t xml:space="preserve">Therefore, to receive funding under the Call </w:t>
      </w:r>
      <w:r w:rsidR="00B13D25" w:rsidRPr="00107B76">
        <w:rPr>
          <w:lang w:val="en-GB"/>
        </w:rPr>
        <w:t>a project promoter</w:t>
      </w:r>
      <w:r w:rsidR="00C51743" w:rsidRPr="00107B76">
        <w:rPr>
          <w:lang w:val="en-GB"/>
        </w:rPr>
        <w:t xml:space="preserve"> shall be established </w:t>
      </w:r>
      <w:r w:rsidR="00C51743" w:rsidRPr="00107B76">
        <w:rPr>
          <w:rFonts w:eastAsiaTheme="minorEastAsia"/>
          <w:lang w:val="en-GB" w:eastAsia="en-US"/>
        </w:rPr>
        <w:t xml:space="preserve">as a legal person in Lithuania (SME or a large enterprise, with no more than 25% public ownership) </w:t>
      </w:r>
      <w:r w:rsidR="0022452E" w:rsidRPr="00107B76">
        <w:rPr>
          <w:rFonts w:eastAsiaTheme="minorEastAsia"/>
          <w:lang w:val="en-GB" w:eastAsia="en-US"/>
        </w:rPr>
        <w:t>no later than</w:t>
      </w:r>
      <w:r w:rsidR="00C51743" w:rsidRPr="00107B76">
        <w:rPr>
          <w:rFonts w:eastAsiaTheme="minorEastAsia"/>
          <w:lang w:val="en-GB" w:eastAsia="en-US"/>
        </w:rPr>
        <w:t xml:space="preserve"> the </w:t>
      </w:r>
      <w:r w:rsidR="0022452E" w:rsidRPr="00107B76">
        <w:rPr>
          <w:rFonts w:eastAsiaTheme="minorEastAsia"/>
          <w:lang w:val="en-GB" w:eastAsia="en-US"/>
        </w:rPr>
        <w:t xml:space="preserve">date of </w:t>
      </w:r>
      <w:r w:rsidR="00C51743" w:rsidRPr="00107B76">
        <w:rPr>
          <w:rFonts w:eastAsiaTheme="minorEastAsia"/>
          <w:lang w:val="en-GB" w:eastAsia="en-US"/>
        </w:rPr>
        <w:t>project contract</w:t>
      </w:r>
      <w:r w:rsidR="0022452E" w:rsidRPr="00107B76">
        <w:rPr>
          <w:rFonts w:eastAsiaTheme="minorEastAsia"/>
          <w:lang w:val="en-GB" w:eastAsia="en-US"/>
        </w:rPr>
        <w:t xml:space="preserve"> signing.</w:t>
      </w:r>
    </w:p>
    <w:p w14:paraId="23DF226F" w14:textId="174D118C" w:rsidR="00530B5A" w:rsidRPr="00107B76" w:rsidRDefault="001F0060"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Eligible partner – any public or private entity, commercial or non-commercial, and non-governmental organisation, established as a legal person in Lithuania or Norway</w:t>
      </w:r>
      <w:r w:rsidR="00832A56" w:rsidRPr="00107B76">
        <w:rPr>
          <w:lang w:val="en-GB"/>
        </w:rPr>
        <w:t>.</w:t>
      </w:r>
      <w:r w:rsidRPr="00107B76">
        <w:rPr>
          <w:lang w:val="en-GB"/>
        </w:rPr>
        <w:t xml:space="preserve"> </w:t>
      </w:r>
      <w:r w:rsidR="00832A56" w:rsidRPr="00107B76">
        <w:rPr>
          <w:lang w:val="en-GB"/>
        </w:rPr>
        <w:t xml:space="preserve">Partnership is not compulsory, which means that projects can be implemented without any partners. Nevertheless, Donor partnership projects are highly encouraged, and projects implemented together with a Donor State Partner will score additional points during assessment of an application.  </w:t>
      </w:r>
    </w:p>
    <w:p w14:paraId="79AE8355" w14:textId="5E85E440" w:rsidR="0036186D" w:rsidRPr="00107B76" w:rsidRDefault="003B6724"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 xml:space="preserve">In case of a Partnership Project or a Donor Partnership Project, a draft </w:t>
      </w:r>
      <w:r w:rsidR="004E3125" w:rsidRPr="00107B76">
        <w:rPr>
          <w:lang w:val="en-GB"/>
        </w:rPr>
        <w:t xml:space="preserve">project </w:t>
      </w:r>
      <w:r w:rsidRPr="00107B76">
        <w:rPr>
          <w:lang w:val="en-GB"/>
        </w:rPr>
        <w:t xml:space="preserve">partnership agreement shall be submitted with an application. </w:t>
      </w:r>
      <w:r w:rsidR="00063B31" w:rsidRPr="00107B76">
        <w:rPr>
          <w:lang w:val="en-GB"/>
        </w:rPr>
        <w:t>For p</w:t>
      </w:r>
      <w:r w:rsidR="00C443FD" w:rsidRPr="00107B76">
        <w:rPr>
          <w:lang w:val="en-GB"/>
        </w:rPr>
        <w:t>rojects</w:t>
      </w:r>
      <w:r w:rsidR="009F4747" w:rsidRPr="00107B76">
        <w:rPr>
          <w:lang w:val="en-GB"/>
        </w:rPr>
        <w:t xml:space="preserve">, </w:t>
      </w:r>
      <w:r w:rsidR="00466180" w:rsidRPr="00107B76">
        <w:rPr>
          <w:lang w:val="en-GB"/>
        </w:rPr>
        <w:t>which</w:t>
      </w:r>
      <w:r w:rsidR="009F4747" w:rsidRPr="00107B76">
        <w:rPr>
          <w:lang w:val="en-GB"/>
        </w:rPr>
        <w:t xml:space="preserve"> have been approved to be </w:t>
      </w:r>
      <w:r w:rsidR="00F97F59" w:rsidRPr="00107B76">
        <w:rPr>
          <w:lang w:val="en-GB"/>
        </w:rPr>
        <w:t xml:space="preserve">funded by grants and </w:t>
      </w:r>
      <w:r w:rsidR="00D70298" w:rsidRPr="00107B76">
        <w:rPr>
          <w:lang w:val="en-GB"/>
        </w:rPr>
        <w:t>State funds</w:t>
      </w:r>
      <w:r w:rsidR="00063B31" w:rsidRPr="00107B76">
        <w:rPr>
          <w:lang w:val="en-GB"/>
        </w:rPr>
        <w:t xml:space="preserve">, a signed partnership agreement shall be submitted to MITA </w:t>
      </w:r>
      <w:r w:rsidR="005D74A2" w:rsidRPr="00107B76">
        <w:rPr>
          <w:lang w:val="en-GB"/>
        </w:rPr>
        <w:t xml:space="preserve">no later than the date </w:t>
      </w:r>
      <w:r w:rsidR="00861A3B" w:rsidRPr="00107B76">
        <w:rPr>
          <w:lang w:val="en-GB"/>
        </w:rPr>
        <w:t xml:space="preserve">on which a </w:t>
      </w:r>
      <w:r w:rsidR="00DC098C" w:rsidRPr="00107B76">
        <w:rPr>
          <w:lang w:val="en-GB"/>
        </w:rPr>
        <w:t>projects contract</w:t>
      </w:r>
      <w:r w:rsidR="00861A3B" w:rsidRPr="00107B76">
        <w:rPr>
          <w:lang w:val="en-GB"/>
        </w:rPr>
        <w:t xml:space="preserve"> is signed. </w:t>
      </w:r>
      <w:r w:rsidR="00040D12" w:rsidRPr="00107B76">
        <w:rPr>
          <w:color w:val="000000"/>
          <w:lang w:val="en-GB"/>
        </w:rPr>
        <w:t>A Partnership Agreement has to clearly define responsibilities of the parties involved and the rights related to a project (specifying financial and physical contribution to a project, which activities will be performed by each party, rights to jointly developed or obtained assets defined in line with accounting principles, project results, etc.) and responsibilities of each party involved, also obligation to comply with basic principles of good partnership practice</w:t>
      </w:r>
      <w:r w:rsidR="00040D12">
        <w:rPr>
          <w:color w:val="000000"/>
          <w:lang w:val="en-GB"/>
        </w:rPr>
        <w:t>.</w:t>
      </w:r>
    </w:p>
    <w:p w14:paraId="4F687735" w14:textId="77777777" w:rsidR="008A5610" w:rsidRPr="00107B76" w:rsidRDefault="00FC00DB"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Funding under the Call shall not be allocated to </w:t>
      </w:r>
      <w:r w:rsidR="00415682" w:rsidRPr="00107B76">
        <w:rPr>
          <w:lang w:val="en-GB"/>
        </w:rPr>
        <w:t xml:space="preserve">an </w:t>
      </w:r>
      <w:r w:rsidR="00B57057" w:rsidRPr="00107B76">
        <w:rPr>
          <w:lang w:val="en-GB"/>
        </w:rPr>
        <w:t>A</w:t>
      </w:r>
      <w:r w:rsidR="00415682" w:rsidRPr="00107B76">
        <w:rPr>
          <w:lang w:val="en-GB"/>
        </w:rPr>
        <w:t>pplicant</w:t>
      </w:r>
      <w:r w:rsidR="008A5610" w:rsidRPr="00107B76">
        <w:rPr>
          <w:lang w:val="en-GB"/>
        </w:rPr>
        <w:t>:</w:t>
      </w:r>
    </w:p>
    <w:p w14:paraId="6242EACF" w14:textId="02A6E528" w:rsidR="008A5610" w:rsidRPr="00107B76" w:rsidRDefault="00415682" w:rsidP="008A5610">
      <w:pPr>
        <w:pStyle w:val="ListParagraph"/>
        <w:numPr>
          <w:ilvl w:val="1"/>
          <w:numId w:val="3"/>
        </w:numPr>
        <w:tabs>
          <w:tab w:val="left" w:pos="142"/>
          <w:tab w:val="left" w:pos="426"/>
          <w:tab w:val="left" w:pos="993"/>
          <w:tab w:val="left" w:pos="1134"/>
        </w:tabs>
        <w:ind w:left="0" w:firstLine="709"/>
        <w:contextualSpacing w:val="0"/>
        <w:jc w:val="both"/>
        <w:rPr>
          <w:lang w:val="en-GB"/>
        </w:rPr>
      </w:pPr>
      <w:r w:rsidRPr="00107B76">
        <w:rPr>
          <w:lang w:val="en-GB"/>
        </w:rPr>
        <w:lastRenderedPageBreak/>
        <w:t xml:space="preserve">if he falls under the category of </w:t>
      </w:r>
      <w:r w:rsidR="00FC00DB" w:rsidRPr="00107B76">
        <w:rPr>
          <w:lang w:val="en-GB"/>
        </w:rPr>
        <w:t>an undertaking in difficulty</w:t>
      </w:r>
      <w:r w:rsidR="008A5610" w:rsidRPr="00107B76">
        <w:rPr>
          <w:lang w:val="en-GB"/>
        </w:rPr>
        <w:t>;</w:t>
      </w:r>
      <w:r w:rsidRPr="00107B76">
        <w:rPr>
          <w:lang w:val="en-GB"/>
        </w:rPr>
        <w:t xml:space="preserve"> </w:t>
      </w:r>
    </w:p>
    <w:p w14:paraId="66A1F159" w14:textId="3BC17FD5" w:rsidR="003E7772" w:rsidRPr="00040D12" w:rsidRDefault="000454EA" w:rsidP="00040D12">
      <w:pPr>
        <w:pStyle w:val="ListParagraph"/>
        <w:numPr>
          <w:ilvl w:val="1"/>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if an </w:t>
      </w:r>
      <w:r w:rsidR="00B57057" w:rsidRPr="00107B76">
        <w:rPr>
          <w:lang w:val="en-GB"/>
        </w:rPr>
        <w:t>A</w:t>
      </w:r>
      <w:r w:rsidRPr="00107B76">
        <w:rPr>
          <w:lang w:val="en-GB"/>
        </w:rPr>
        <w:t xml:space="preserve">pplicant has not </w:t>
      </w:r>
      <w:r w:rsidR="00EF3A34" w:rsidRPr="00107B76">
        <w:rPr>
          <w:lang w:val="en-GB"/>
        </w:rPr>
        <w:t>reimbursed</w:t>
      </w:r>
      <w:r w:rsidR="00D21DFF" w:rsidRPr="00107B76">
        <w:rPr>
          <w:lang w:val="en-GB"/>
        </w:rPr>
        <w:t xml:space="preserve"> the</w:t>
      </w:r>
      <w:r w:rsidR="00915D72" w:rsidRPr="00107B76">
        <w:rPr>
          <w:lang w:val="en-GB"/>
        </w:rPr>
        <w:t xml:space="preserve"> received State Aid</w:t>
      </w:r>
      <w:r w:rsidR="00630282" w:rsidRPr="00107B76">
        <w:rPr>
          <w:lang w:val="en-GB"/>
        </w:rPr>
        <w:t xml:space="preserve"> which was recognized</w:t>
      </w:r>
      <w:r w:rsidR="0067672C" w:rsidRPr="00107B76">
        <w:rPr>
          <w:lang w:val="en-GB"/>
        </w:rPr>
        <w:t xml:space="preserve"> by the decision of the European Commission</w:t>
      </w:r>
      <w:r w:rsidR="00630282" w:rsidRPr="00107B76">
        <w:rPr>
          <w:lang w:val="en-GB"/>
        </w:rPr>
        <w:t xml:space="preserve"> as </w:t>
      </w:r>
      <w:r w:rsidR="009865AC" w:rsidRPr="00107B76">
        <w:rPr>
          <w:lang w:val="en-GB"/>
        </w:rPr>
        <w:t>unlawful</w:t>
      </w:r>
      <w:r w:rsidR="00630282" w:rsidRPr="00107B76">
        <w:rPr>
          <w:lang w:val="en-GB"/>
        </w:rPr>
        <w:t xml:space="preserve"> and incompatible with </w:t>
      </w:r>
      <w:r w:rsidR="0067672C" w:rsidRPr="00107B76">
        <w:rPr>
          <w:lang w:val="en-GB"/>
        </w:rPr>
        <w:t xml:space="preserve">the </w:t>
      </w:r>
      <w:r w:rsidR="00630282" w:rsidRPr="00107B76">
        <w:rPr>
          <w:lang w:val="en-GB"/>
        </w:rPr>
        <w:t>internal market.</w:t>
      </w:r>
    </w:p>
    <w:p w14:paraId="4B6ADFE7" w14:textId="77777777" w:rsidR="003E7772" w:rsidRPr="00107B76" w:rsidRDefault="003E7772" w:rsidP="003E7772">
      <w:pPr>
        <w:autoSpaceDE w:val="0"/>
        <w:autoSpaceDN w:val="0"/>
        <w:adjustRightInd w:val="0"/>
        <w:rPr>
          <w:b/>
          <w:bCs/>
          <w:color w:val="000000"/>
          <w:sz w:val="23"/>
          <w:szCs w:val="23"/>
          <w:lang w:val="en-GB"/>
        </w:rPr>
      </w:pPr>
    </w:p>
    <w:p w14:paraId="41A122CE" w14:textId="6B63C29C" w:rsidR="0011690D" w:rsidRPr="00107B76" w:rsidRDefault="005B0D71" w:rsidP="0011690D">
      <w:pPr>
        <w:autoSpaceDE w:val="0"/>
        <w:autoSpaceDN w:val="0"/>
        <w:adjustRightInd w:val="0"/>
        <w:jc w:val="center"/>
        <w:rPr>
          <w:color w:val="000000"/>
          <w:lang w:val="en-GB"/>
        </w:rPr>
      </w:pPr>
      <w:r w:rsidRPr="00107B76">
        <w:rPr>
          <w:b/>
          <w:bCs/>
          <w:color w:val="000000"/>
          <w:sz w:val="23"/>
          <w:szCs w:val="23"/>
          <w:lang w:val="en-GB"/>
        </w:rPr>
        <w:t>CHAPTER 3</w:t>
      </w:r>
    </w:p>
    <w:p w14:paraId="1F4199DE" w14:textId="26C0899E" w:rsidR="0011690D" w:rsidRPr="00107B76" w:rsidRDefault="005B0D71" w:rsidP="0011690D">
      <w:pPr>
        <w:tabs>
          <w:tab w:val="left" w:pos="142"/>
          <w:tab w:val="left" w:pos="426"/>
        </w:tabs>
        <w:spacing w:after="120"/>
        <w:jc w:val="center"/>
        <w:rPr>
          <w:lang w:val="en-GB"/>
        </w:rPr>
      </w:pPr>
      <w:r w:rsidRPr="00107B76">
        <w:rPr>
          <w:b/>
          <w:bCs/>
          <w:color w:val="000000"/>
          <w:lang w:val="en-GB"/>
        </w:rPr>
        <w:t>GENERAL REQUIREMENTS FOR PROJECTS</w:t>
      </w:r>
    </w:p>
    <w:p w14:paraId="036BC4B4" w14:textId="4B9F5E25" w:rsidR="00E25B04" w:rsidRPr="00107B76" w:rsidRDefault="00E25B04"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 xml:space="preserve">A project shall meet administrative criteria provided in </w:t>
      </w:r>
      <w:r w:rsidR="001D015C" w:rsidRPr="00107B76">
        <w:rPr>
          <w:lang w:val="en-GB"/>
        </w:rPr>
        <w:t xml:space="preserve">the </w:t>
      </w:r>
      <w:r w:rsidRPr="00107B76">
        <w:rPr>
          <w:lang w:val="en-GB"/>
        </w:rPr>
        <w:t>Annex 3 to the Call.</w:t>
      </w:r>
    </w:p>
    <w:p w14:paraId="7D5B2759" w14:textId="6007FA9A" w:rsidR="00E22243" w:rsidRPr="00107B76" w:rsidRDefault="001D015C" w:rsidP="00050AA0">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A project shall meet</w:t>
      </w:r>
      <w:r w:rsidR="003D4A21" w:rsidRPr="00107B76">
        <w:rPr>
          <w:lang w:val="en-GB"/>
        </w:rPr>
        <w:t xml:space="preserve"> </w:t>
      </w:r>
      <w:r w:rsidR="00807F11" w:rsidRPr="00107B76">
        <w:rPr>
          <w:lang w:val="en-GB"/>
        </w:rPr>
        <w:t>formal asse</w:t>
      </w:r>
      <w:r w:rsidR="00DE1774" w:rsidRPr="00107B76">
        <w:rPr>
          <w:lang w:val="en-GB"/>
        </w:rPr>
        <w:t>ss</w:t>
      </w:r>
      <w:r w:rsidR="00807F11" w:rsidRPr="00107B76">
        <w:rPr>
          <w:lang w:val="en-GB"/>
        </w:rPr>
        <w:t>ment criteria</w:t>
      </w:r>
      <w:r w:rsidR="003D4A21" w:rsidRPr="00107B76">
        <w:rPr>
          <w:lang w:val="en-GB"/>
        </w:rPr>
        <w:t xml:space="preserve">, </w:t>
      </w:r>
      <w:r w:rsidR="00807F11" w:rsidRPr="00107B76">
        <w:rPr>
          <w:lang w:val="en-GB"/>
        </w:rPr>
        <w:t>general eligibility</w:t>
      </w:r>
      <w:r w:rsidR="003D4A21" w:rsidRPr="00107B76">
        <w:rPr>
          <w:lang w:val="en-GB"/>
        </w:rPr>
        <w:t xml:space="preserve"> </w:t>
      </w:r>
      <w:r w:rsidR="00AA1DF6" w:rsidRPr="00107B76">
        <w:rPr>
          <w:lang w:val="en-GB"/>
        </w:rPr>
        <w:t>and</w:t>
      </w:r>
      <w:r w:rsidR="003D4A21" w:rsidRPr="00107B76">
        <w:rPr>
          <w:lang w:val="en-GB"/>
        </w:rPr>
        <w:t xml:space="preserve"> </w:t>
      </w:r>
      <w:r w:rsidR="00DE1774" w:rsidRPr="00107B76">
        <w:rPr>
          <w:lang w:val="en-GB"/>
        </w:rPr>
        <w:t xml:space="preserve">specific </w:t>
      </w:r>
      <w:r w:rsidR="000F2FB6" w:rsidRPr="00107B76">
        <w:rPr>
          <w:lang w:val="en-GB"/>
        </w:rPr>
        <w:t>compliance</w:t>
      </w:r>
      <w:r w:rsidR="00DE1774" w:rsidRPr="00107B76">
        <w:rPr>
          <w:lang w:val="en-GB"/>
        </w:rPr>
        <w:t xml:space="preserve"> criteria, provided in the Annex 1 to the Call</w:t>
      </w:r>
      <w:r w:rsidR="003D4A21" w:rsidRPr="00107B76">
        <w:rPr>
          <w:lang w:val="en-GB"/>
        </w:rPr>
        <w:t xml:space="preserve">. </w:t>
      </w:r>
    </w:p>
    <w:p w14:paraId="6575880B" w14:textId="0339FCA8" w:rsidR="00974076" w:rsidRPr="00107B76" w:rsidRDefault="00DB1FBB"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Project selection is </w:t>
      </w:r>
      <w:r w:rsidR="00992D70" w:rsidRPr="00107B76">
        <w:rPr>
          <w:lang w:val="en-GB"/>
        </w:rPr>
        <w:t>made</w:t>
      </w:r>
      <w:r w:rsidR="001B0661" w:rsidRPr="00107B76">
        <w:rPr>
          <w:lang w:val="en-GB"/>
        </w:rPr>
        <w:t xml:space="preserve"> </w:t>
      </w:r>
      <w:r w:rsidR="00366AAB" w:rsidRPr="00107B76">
        <w:rPr>
          <w:lang w:val="en-GB"/>
        </w:rPr>
        <w:t xml:space="preserve">on the basis of </w:t>
      </w:r>
      <w:r w:rsidR="00E12FF9" w:rsidRPr="00107B76">
        <w:rPr>
          <w:lang w:val="en-GB"/>
        </w:rPr>
        <w:t>selection</w:t>
      </w:r>
      <w:r w:rsidR="00A3146C" w:rsidRPr="00107B76">
        <w:rPr>
          <w:lang w:val="en-GB"/>
        </w:rPr>
        <w:t xml:space="preserve"> </w:t>
      </w:r>
      <w:r w:rsidR="001B0661" w:rsidRPr="00107B76">
        <w:rPr>
          <w:lang w:val="en-GB"/>
        </w:rPr>
        <w:t>criteria</w:t>
      </w:r>
      <w:r w:rsidR="00E01CFB" w:rsidRPr="00107B76">
        <w:rPr>
          <w:lang w:val="en-GB"/>
        </w:rPr>
        <w:t xml:space="preserve">, </w:t>
      </w:r>
      <w:r w:rsidR="004C7CE3" w:rsidRPr="00107B76">
        <w:rPr>
          <w:lang w:val="en-GB"/>
        </w:rPr>
        <w:t xml:space="preserve">provided in </w:t>
      </w:r>
      <w:r w:rsidR="00E61BF9" w:rsidRPr="00107B76">
        <w:rPr>
          <w:lang w:val="en-GB"/>
        </w:rPr>
        <w:t xml:space="preserve">the </w:t>
      </w:r>
      <w:r w:rsidR="004C7CE3" w:rsidRPr="00107B76">
        <w:rPr>
          <w:lang w:val="en-GB"/>
        </w:rPr>
        <w:t xml:space="preserve">Annex 2 to the Call. </w:t>
      </w:r>
      <w:r w:rsidR="009E3DB4" w:rsidRPr="00107B76">
        <w:rPr>
          <w:lang w:val="en-GB"/>
        </w:rPr>
        <w:t xml:space="preserve">Points are awarded for </w:t>
      </w:r>
      <w:r w:rsidR="005F1B5E" w:rsidRPr="00107B76">
        <w:rPr>
          <w:lang w:val="en-GB"/>
        </w:rPr>
        <w:t xml:space="preserve">compliance </w:t>
      </w:r>
      <w:r w:rsidR="00617C09" w:rsidRPr="00107B76">
        <w:rPr>
          <w:lang w:val="en-GB"/>
        </w:rPr>
        <w:t xml:space="preserve">with these criteria. </w:t>
      </w:r>
      <w:r w:rsidR="003B717F" w:rsidRPr="00107B76">
        <w:rPr>
          <w:lang w:val="en-GB"/>
        </w:rPr>
        <w:t xml:space="preserve">The maximum amount of points </w:t>
      </w:r>
      <w:r w:rsidR="00E61BF9" w:rsidRPr="00107B76">
        <w:rPr>
          <w:lang w:val="en-GB"/>
        </w:rPr>
        <w:t>per</w:t>
      </w:r>
      <w:r w:rsidR="003B717F" w:rsidRPr="00107B76">
        <w:rPr>
          <w:lang w:val="en-GB"/>
        </w:rPr>
        <w:t xml:space="preserve"> each criteri</w:t>
      </w:r>
      <w:r w:rsidR="00354987" w:rsidRPr="00107B76">
        <w:rPr>
          <w:lang w:val="en-GB"/>
        </w:rPr>
        <w:t>on</w:t>
      </w:r>
      <w:r w:rsidR="003B717F" w:rsidRPr="00107B76">
        <w:rPr>
          <w:lang w:val="en-GB"/>
        </w:rPr>
        <w:t xml:space="preserve"> </w:t>
      </w:r>
      <w:r w:rsidR="00410F68" w:rsidRPr="00107B76">
        <w:rPr>
          <w:lang w:val="en-GB"/>
        </w:rPr>
        <w:t xml:space="preserve">is indicated in the Annex </w:t>
      </w:r>
      <w:r w:rsidR="00E12FF9" w:rsidRPr="00107B76">
        <w:rPr>
          <w:lang w:val="en-GB"/>
        </w:rPr>
        <w:t xml:space="preserve">2 </w:t>
      </w:r>
      <w:r w:rsidR="00410F68" w:rsidRPr="00107B76">
        <w:rPr>
          <w:lang w:val="en-GB"/>
        </w:rPr>
        <w:t xml:space="preserve">to the Call. </w:t>
      </w:r>
    </w:p>
    <w:p w14:paraId="1B09A09F" w14:textId="77777777" w:rsidR="0063568C" w:rsidRPr="00107B76" w:rsidRDefault="00A559FF"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P</w:t>
      </w:r>
      <w:r w:rsidR="00974076" w:rsidRPr="00107B76">
        <w:rPr>
          <w:lang w:val="en-GB"/>
        </w:rPr>
        <w:t>roject activities (or the major part thereof) shall be implemented physically within the territory of the Republic of Lithuania</w:t>
      </w:r>
      <w:r w:rsidR="0063568C" w:rsidRPr="00107B76">
        <w:rPr>
          <w:lang w:val="en-GB"/>
        </w:rPr>
        <w:t>.</w:t>
      </w:r>
    </w:p>
    <w:p w14:paraId="04F80E98" w14:textId="77777777" w:rsidR="0063568C" w:rsidRPr="00107B76" w:rsidRDefault="0063568C" w:rsidP="0063568C">
      <w:pPr>
        <w:pStyle w:val="ListParagraph"/>
        <w:numPr>
          <w:ilvl w:val="1"/>
          <w:numId w:val="3"/>
        </w:numPr>
        <w:tabs>
          <w:tab w:val="left" w:pos="142"/>
          <w:tab w:val="left" w:pos="426"/>
          <w:tab w:val="left" w:pos="993"/>
        </w:tabs>
        <w:ind w:left="0" w:firstLine="709"/>
        <w:contextualSpacing w:val="0"/>
        <w:jc w:val="both"/>
        <w:rPr>
          <w:lang w:val="en-GB"/>
        </w:rPr>
      </w:pPr>
      <w:r w:rsidRPr="00107B76">
        <w:rPr>
          <w:lang w:val="en-GB"/>
        </w:rPr>
        <w:t>I</w:t>
      </w:r>
      <w:r w:rsidR="00974076" w:rsidRPr="00107B76">
        <w:rPr>
          <w:lang w:val="en-GB"/>
        </w:rPr>
        <w:t>f this is not possible due to the specifics of a project and the nature of activities</w:t>
      </w:r>
      <w:r w:rsidR="009403F1" w:rsidRPr="00107B76">
        <w:rPr>
          <w:lang w:val="en-GB"/>
        </w:rPr>
        <w:t xml:space="preserve"> </w:t>
      </w:r>
      <w:r w:rsidR="00974076" w:rsidRPr="00107B76">
        <w:rPr>
          <w:lang w:val="en-GB"/>
        </w:rPr>
        <w:t>and activity(</w:t>
      </w:r>
      <w:proofErr w:type="spellStart"/>
      <w:r w:rsidR="00974076" w:rsidRPr="00107B76">
        <w:rPr>
          <w:lang w:val="en-GB"/>
        </w:rPr>
        <w:t>ies</w:t>
      </w:r>
      <w:proofErr w:type="spellEnd"/>
      <w:r w:rsidR="00974076" w:rsidRPr="00107B76">
        <w:rPr>
          <w:lang w:val="en-GB"/>
        </w:rPr>
        <w:t xml:space="preserve">) is (are) carried out beyond the boundaries of the Republic of Lithuania, then the results, products and benefit (or in case it is possible to separate a portion thereof pro rata to the financial contribution) must be used in activities of </w:t>
      </w:r>
      <w:r w:rsidR="00B60F2D" w:rsidRPr="00107B76">
        <w:rPr>
          <w:lang w:val="en-GB"/>
        </w:rPr>
        <w:t>a</w:t>
      </w:r>
      <w:r w:rsidR="009403F1" w:rsidRPr="00107B76">
        <w:rPr>
          <w:lang w:val="en-GB"/>
        </w:rPr>
        <w:t xml:space="preserve"> Project promoter </w:t>
      </w:r>
      <w:r w:rsidR="00974076" w:rsidRPr="00107B76">
        <w:rPr>
          <w:lang w:val="en-GB"/>
        </w:rPr>
        <w:t>and/or partner</w:t>
      </w:r>
      <w:r w:rsidR="00190A10" w:rsidRPr="00107B76">
        <w:rPr>
          <w:lang w:val="en-GB"/>
        </w:rPr>
        <w:t xml:space="preserve"> </w:t>
      </w:r>
      <w:r w:rsidR="00974076" w:rsidRPr="00107B76">
        <w:rPr>
          <w:lang w:val="en-GB"/>
        </w:rPr>
        <w:t>(s) in the Republic of Lithuania.</w:t>
      </w:r>
      <w:r w:rsidRPr="00107B76">
        <w:rPr>
          <w:lang w:val="en-GB"/>
        </w:rPr>
        <w:t xml:space="preserve"> </w:t>
      </w:r>
    </w:p>
    <w:p w14:paraId="0EB28F70" w14:textId="66AC7C14" w:rsidR="00974076" w:rsidRPr="00107B76" w:rsidRDefault="0063568C" w:rsidP="0063568C">
      <w:pPr>
        <w:pStyle w:val="ListParagraph"/>
        <w:numPr>
          <w:ilvl w:val="1"/>
          <w:numId w:val="3"/>
        </w:numPr>
        <w:tabs>
          <w:tab w:val="left" w:pos="142"/>
          <w:tab w:val="left" w:pos="426"/>
          <w:tab w:val="left" w:pos="993"/>
        </w:tabs>
        <w:ind w:left="0" w:firstLine="709"/>
        <w:contextualSpacing w:val="0"/>
        <w:jc w:val="both"/>
        <w:rPr>
          <w:lang w:val="en-GB"/>
        </w:rPr>
      </w:pPr>
      <w:r w:rsidRPr="00107B76">
        <w:rPr>
          <w:lang w:val="en-GB"/>
        </w:rPr>
        <w:t xml:space="preserve">Project activity - </w:t>
      </w:r>
      <w:r w:rsidRPr="00107B76">
        <w:rPr>
          <w:i/>
          <w:iCs/>
          <w:lang w:val="en-GB"/>
        </w:rPr>
        <w:t xml:space="preserve">Application of new products/ technologies </w:t>
      </w:r>
      <w:r w:rsidRPr="00107B76">
        <w:rPr>
          <w:lang w:val="en-GB"/>
        </w:rPr>
        <w:t>(see subparagraph 13.3) shall be implemented physically within the territory of the Republic of Lithuania.</w:t>
      </w:r>
    </w:p>
    <w:p w14:paraId="1596FF19" w14:textId="363D03E4" w:rsidR="00025845" w:rsidRPr="00107B76" w:rsidRDefault="00025845"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A duration of a project shall not be longer that 36 months </w:t>
      </w:r>
      <w:r w:rsidR="00BF7635" w:rsidRPr="00107B76">
        <w:rPr>
          <w:lang w:val="en-GB"/>
        </w:rPr>
        <w:t xml:space="preserve">from the date a </w:t>
      </w:r>
      <w:r w:rsidR="00DC098C" w:rsidRPr="00107B76">
        <w:rPr>
          <w:lang w:val="en-GB"/>
        </w:rPr>
        <w:t>project contract</w:t>
      </w:r>
      <w:r w:rsidR="008530F0" w:rsidRPr="00107B76">
        <w:rPr>
          <w:lang w:val="en-GB"/>
        </w:rPr>
        <w:t xml:space="preserve"> is signed. </w:t>
      </w:r>
      <w:r w:rsidRPr="00107B76">
        <w:rPr>
          <w:lang w:val="en-GB"/>
        </w:rPr>
        <w:t xml:space="preserve">A duration of a project under SGS1 shall not be longer than 18 months. All project activities must be </w:t>
      </w:r>
      <w:proofErr w:type="gramStart"/>
      <w:r w:rsidRPr="00107B76">
        <w:rPr>
          <w:lang w:val="en-GB"/>
        </w:rPr>
        <w:t>completed</w:t>
      </w:r>
      <w:proofErr w:type="gramEnd"/>
      <w:r w:rsidR="00A45640" w:rsidRPr="00107B76">
        <w:rPr>
          <w:lang w:val="en-GB"/>
        </w:rPr>
        <w:t xml:space="preserve"> </w:t>
      </w:r>
      <w:r w:rsidRPr="00107B76">
        <w:rPr>
          <w:lang w:val="en-GB"/>
        </w:rPr>
        <w:t xml:space="preserve">and the final payment claim must be submitted </w:t>
      </w:r>
      <w:r w:rsidR="00A45640" w:rsidRPr="00107B76">
        <w:rPr>
          <w:lang w:val="en-GB"/>
        </w:rPr>
        <w:t>by</w:t>
      </w:r>
      <w:r w:rsidRPr="00107B76">
        <w:rPr>
          <w:lang w:val="en-GB"/>
        </w:rPr>
        <w:t xml:space="preserve"> the date stated in </w:t>
      </w:r>
      <w:r w:rsidR="006A478D" w:rsidRPr="00107B76">
        <w:rPr>
          <w:lang w:val="en-GB"/>
        </w:rPr>
        <w:t xml:space="preserve">subparagraph </w:t>
      </w:r>
      <w:r w:rsidR="000F7471" w:rsidRPr="00107B76">
        <w:rPr>
          <w:lang w:val="en-GB"/>
        </w:rPr>
        <w:t>41</w:t>
      </w:r>
      <w:r w:rsidR="006A478D" w:rsidRPr="00107B76">
        <w:rPr>
          <w:lang w:val="en-GB"/>
        </w:rPr>
        <w:t>.1 of the Call.</w:t>
      </w:r>
    </w:p>
    <w:p w14:paraId="64242552" w14:textId="6995BBD6" w:rsidR="004D459E" w:rsidRPr="00107B76" w:rsidRDefault="004D459E"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Implementation of project activities shall start no later than within 3 months </w:t>
      </w:r>
      <w:r w:rsidR="00354987" w:rsidRPr="00107B76">
        <w:rPr>
          <w:lang w:val="en-GB"/>
        </w:rPr>
        <w:t>from</w:t>
      </w:r>
      <w:r w:rsidRPr="00107B76">
        <w:rPr>
          <w:lang w:val="en-GB"/>
        </w:rPr>
        <w:t xml:space="preserve"> the </w:t>
      </w:r>
      <w:r w:rsidR="00354987" w:rsidRPr="00107B76">
        <w:rPr>
          <w:lang w:val="en-GB"/>
        </w:rPr>
        <w:t xml:space="preserve">day a </w:t>
      </w:r>
      <w:r w:rsidR="00DC098C" w:rsidRPr="00107B76">
        <w:rPr>
          <w:lang w:val="en-GB"/>
        </w:rPr>
        <w:t>projects contract</w:t>
      </w:r>
      <w:r w:rsidRPr="00107B76">
        <w:rPr>
          <w:lang w:val="en-GB"/>
        </w:rPr>
        <w:t xml:space="preserve"> </w:t>
      </w:r>
      <w:r w:rsidR="00354987" w:rsidRPr="00107B76">
        <w:rPr>
          <w:lang w:val="en-GB"/>
        </w:rPr>
        <w:t>is signed</w:t>
      </w:r>
      <w:r w:rsidRPr="00107B76">
        <w:rPr>
          <w:lang w:val="en-GB"/>
        </w:rPr>
        <w:t>.</w:t>
      </w:r>
    </w:p>
    <w:p w14:paraId="60172279" w14:textId="44EE9FFF" w:rsidR="005A50A3" w:rsidRPr="00107B76" w:rsidRDefault="00354987" w:rsidP="00AD73C5">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I</w:t>
      </w:r>
      <w:r w:rsidR="005A50A3" w:rsidRPr="00107B76">
        <w:rPr>
          <w:lang w:val="en-GB"/>
        </w:rPr>
        <w:t xml:space="preserve">mplementation of </w:t>
      </w:r>
      <w:r w:rsidRPr="00107B76">
        <w:rPr>
          <w:lang w:val="en-GB"/>
        </w:rPr>
        <w:t xml:space="preserve">a </w:t>
      </w:r>
      <w:r w:rsidR="005A50A3" w:rsidRPr="00107B76">
        <w:rPr>
          <w:lang w:val="en-GB"/>
        </w:rPr>
        <w:t xml:space="preserve">project shall </w:t>
      </w:r>
      <w:r w:rsidR="000B62EC" w:rsidRPr="00107B76">
        <w:rPr>
          <w:lang w:val="en-GB"/>
        </w:rPr>
        <w:t>start</w:t>
      </w:r>
      <w:r w:rsidR="005A50A3" w:rsidRPr="00107B76">
        <w:rPr>
          <w:lang w:val="en-GB"/>
        </w:rPr>
        <w:t xml:space="preserve"> not earlier than the date on which MITA decides to award </w:t>
      </w:r>
      <w:r w:rsidR="005C7905" w:rsidRPr="00107B76">
        <w:rPr>
          <w:lang w:val="en-GB"/>
        </w:rPr>
        <w:t xml:space="preserve">a </w:t>
      </w:r>
      <w:r w:rsidR="005A50A3" w:rsidRPr="00107B76">
        <w:rPr>
          <w:lang w:val="en-GB"/>
        </w:rPr>
        <w:t>grant</w:t>
      </w:r>
      <w:r w:rsidR="005C7905" w:rsidRPr="00107B76">
        <w:rPr>
          <w:lang w:val="en-GB"/>
        </w:rPr>
        <w:t xml:space="preserve"> to a project</w:t>
      </w:r>
      <w:r w:rsidR="005A50A3" w:rsidRPr="00107B76">
        <w:rPr>
          <w:lang w:val="en-GB"/>
        </w:rPr>
        <w:t xml:space="preserve">. </w:t>
      </w:r>
      <w:r w:rsidR="00460CFA" w:rsidRPr="00107B76">
        <w:rPr>
          <w:lang w:val="en-GB"/>
        </w:rPr>
        <w:t>A day after MITA</w:t>
      </w:r>
      <w:r w:rsidR="000B6FDD" w:rsidRPr="00107B76">
        <w:rPr>
          <w:lang w:val="en-GB"/>
        </w:rPr>
        <w:t xml:space="preserve"> </w:t>
      </w:r>
      <w:r w:rsidR="00460CFA" w:rsidRPr="00107B76">
        <w:rPr>
          <w:lang w:val="en-GB"/>
        </w:rPr>
        <w:t xml:space="preserve">decision </w:t>
      </w:r>
      <w:r w:rsidR="00051858" w:rsidRPr="00107B76">
        <w:rPr>
          <w:lang w:val="en-GB"/>
        </w:rPr>
        <w:t>to award a grant</w:t>
      </w:r>
      <w:r w:rsidR="000B6FDD" w:rsidRPr="00107B76">
        <w:rPr>
          <w:lang w:val="en-GB"/>
        </w:rPr>
        <w:t xml:space="preserve"> to a project</w:t>
      </w:r>
      <w:r w:rsidR="00051858" w:rsidRPr="00107B76">
        <w:rPr>
          <w:lang w:val="en-GB"/>
        </w:rPr>
        <w:t xml:space="preserve"> is </w:t>
      </w:r>
      <w:r w:rsidR="00A52ECB" w:rsidRPr="00107B76">
        <w:rPr>
          <w:lang w:val="en-GB"/>
        </w:rPr>
        <w:t>considered to</w:t>
      </w:r>
      <w:r w:rsidR="00FF5C94" w:rsidRPr="00107B76">
        <w:rPr>
          <w:lang w:val="en-GB"/>
        </w:rPr>
        <w:t xml:space="preserve"> mark</w:t>
      </w:r>
      <w:r w:rsidR="00051858" w:rsidRPr="00107B76">
        <w:rPr>
          <w:lang w:val="en-GB"/>
        </w:rPr>
        <w:t xml:space="preserve"> the beginning of a project.</w:t>
      </w:r>
      <w:r w:rsidR="000B62EC" w:rsidRPr="00107B76">
        <w:rPr>
          <w:lang w:val="en-GB"/>
        </w:rPr>
        <w:t xml:space="preserve"> If project activities are </w:t>
      </w:r>
      <w:r w:rsidR="009E4958" w:rsidRPr="00107B76">
        <w:rPr>
          <w:lang w:val="en-GB"/>
        </w:rPr>
        <w:t xml:space="preserve">commenced to </w:t>
      </w:r>
      <w:r w:rsidRPr="00107B76">
        <w:rPr>
          <w:lang w:val="en-GB"/>
        </w:rPr>
        <w:t xml:space="preserve">be </w:t>
      </w:r>
      <w:r w:rsidR="009E4958" w:rsidRPr="00107B76">
        <w:rPr>
          <w:lang w:val="en-GB"/>
        </w:rPr>
        <w:t>implement</w:t>
      </w:r>
      <w:r w:rsidRPr="00107B76">
        <w:rPr>
          <w:lang w:val="en-GB"/>
        </w:rPr>
        <w:t>ed</w:t>
      </w:r>
      <w:r w:rsidR="009E4958" w:rsidRPr="00107B76">
        <w:rPr>
          <w:lang w:val="en-GB"/>
        </w:rPr>
        <w:t xml:space="preserve"> </w:t>
      </w:r>
      <w:r w:rsidR="005A50A3" w:rsidRPr="00107B76">
        <w:rPr>
          <w:lang w:val="en-GB"/>
        </w:rPr>
        <w:t xml:space="preserve">before </w:t>
      </w:r>
      <w:r w:rsidR="00E47747" w:rsidRPr="00107B76">
        <w:rPr>
          <w:lang w:val="en-GB"/>
        </w:rPr>
        <w:t xml:space="preserve">a day on which </w:t>
      </w:r>
      <w:r w:rsidR="00AD14F5" w:rsidRPr="00107B76">
        <w:rPr>
          <w:lang w:val="en-GB"/>
        </w:rPr>
        <w:t>MITA</w:t>
      </w:r>
      <w:r w:rsidR="005A50A3" w:rsidRPr="00107B76">
        <w:rPr>
          <w:lang w:val="en-GB"/>
        </w:rPr>
        <w:t xml:space="preserve"> </w:t>
      </w:r>
      <w:r w:rsidR="00E47747" w:rsidRPr="00107B76">
        <w:rPr>
          <w:lang w:val="en-GB"/>
        </w:rPr>
        <w:t xml:space="preserve">makes a </w:t>
      </w:r>
      <w:r w:rsidR="005A50A3" w:rsidRPr="00107B76">
        <w:rPr>
          <w:lang w:val="en-GB"/>
        </w:rPr>
        <w:t xml:space="preserve">decision </w:t>
      </w:r>
      <w:r w:rsidR="00AD14F5" w:rsidRPr="00107B76">
        <w:rPr>
          <w:lang w:val="en-GB"/>
        </w:rPr>
        <w:t>to grant funding to a project</w:t>
      </w:r>
      <w:r w:rsidR="005A50A3" w:rsidRPr="00107B76">
        <w:rPr>
          <w:lang w:val="en-GB"/>
        </w:rPr>
        <w:t>, the whole project becomes ineligible and no funding shall be allocated for it.</w:t>
      </w:r>
    </w:p>
    <w:p w14:paraId="654EA014" w14:textId="4FB3B0EC" w:rsidR="00A373F8" w:rsidRPr="00107B76" w:rsidRDefault="00A373F8" w:rsidP="00A373F8">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All projects shall contribute to the outcome of the Programme: </w:t>
      </w:r>
      <w:r w:rsidRPr="00107B76">
        <w:rPr>
          <w:i/>
          <w:iCs/>
          <w:lang w:val="en-GB"/>
        </w:rPr>
        <w:t>Increased competitiveness of Lithuanian companies within the focus areas Green Industry Innovation, including bio economy</w:t>
      </w:r>
      <w:r w:rsidR="00E207AA" w:rsidRPr="00107B76">
        <w:rPr>
          <w:i/>
          <w:iCs/>
          <w:lang w:val="en-GB"/>
        </w:rPr>
        <w:t>,</w:t>
      </w:r>
      <w:r w:rsidR="00E207AA" w:rsidRPr="00107B76">
        <w:rPr>
          <w:rFonts w:eastAsiaTheme="minorEastAsia"/>
          <w:i/>
          <w:iCs/>
          <w:lang w:val="en-GB" w:eastAsia="en-US"/>
        </w:rPr>
        <w:t xml:space="preserve"> and ICT</w:t>
      </w:r>
      <w:r w:rsidRPr="00107B76">
        <w:rPr>
          <w:lang w:val="en-GB"/>
        </w:rPr>
        <w:t xml:space="preserve"> and shall deliver the expected outcome</w:t>
      </w:r>
      <w:r w:rsidR="009276E8" w:rsidRPr="00107B76">
        <w:rPr>
          <w:lang w:val="en-GB"/>
        </w:rPr>
        <w:t xml:space="preserve"> indicators</w:t>
      </w:r>
      <w:r w:rsidRPr="00107B76">
        <w:rPr>
          <w:lang w:val="en-GB"/>
        </w:rPr>
        <w:t xml:space="preserve"> referred to in paragraphs 2</w:t>
      </w:r>
      <w:r w:rsidR="009276E8" w:rsidRPr="00107B76">
        <w:rPr>
          <w:lang w:val="en-GB"/>
        </w:rPr>
        <w:t>9</w:t>
      </w:r>
      <w:r w:rsidRPr="00107B76">
        <w:rPr>
          <w:lang w:val="en-GB"/>
        </w:rPr>
        <w:t xml:space="preserve"> </w:t>
      </w:r>
      <w:r w:rsidR="009276E8" w:rsidRPr="00107B76">
        <w:rPr>
          <w:lang w:val="en-GB"/>
        </w:rPr>
        <w:t xml:space="preserve">to 33 </w:t>
      </w:r>
      <w:r w:rsidRPr="00107B76">
        <w:rPr>
          <w:lang w:val="en-GB"/>
        </w:rPr>
        <w:t>of the Call.</w:t>
      </w:r>
    </w:p>
    <w:p w14:paraId="117CCEAF" w14:textId="0EC784C2" w:rsidR="00A373F8" w:rsidRPr="00107B76" w:rsidRDefault="00A373F8" w:rsidP="00A373F8">
      <w:pPr>
        <w:pStyle w:val="ListParagraph"/>
        <w:numPr>
          <w:ilvl w:val="0"/>
          <w:numId w:val="3"/>
        </w:numPr>
        <w:tabs>
          <w:tab w:val="left" w:pos="142"/>
          <w:tab w:val="left" w:pos="426"/>
          <w:tab w:val="left" w:pos="993"/>
          <w:tab w:val="left" w:pos="1134"/>
        </w:tabs>
        <w:ind w:left="0" w:firstLine="709"/>
        <w:contextualSpacing w:val="0"/>
        <w:jc w:val="both"/>
        <w:rPr>
          <w:lang w:val="en-GB"/>
        </w:rPr>
      </w:pPr>
      <w:r w:rsidRPr="00107B76">
        <w:rPr>
          <w:lang w:val="en-GB"/>
        </w:rPr>
        <w:t xml:space="preserve">All projects involving Donor State Partners shall contribute to the bilateral outcome of the Programme: </w:t>
      </w:r>
      <w:r w:rsidRPr="00107B76">
        <w:rPr>
          <w:i/>
          <w:iCs/>
          <w:lang w:val="en-GB"/>
        </w:rPr>
        <w:t>Enhanced collaboration between beneficiary and donor state entities involved in the programme</w:t>
      </w:r>
      <w:r w:rsidRPr="00107B76">
        <w:rPr>
          <w:lang w:val="en-GB"/>
        </w:rPr>
        <w:t xml:space="preserve"> and shall take part in the Bilateral Survey administered by the Financial Mechanism Office to report on the project’s bilateral outcomes. </w:t>
      </w:r>
    </w:p>
    <w:p w14:paraId="61FAC237" w14:textId="63042DBF" w:rsidR="00BE1240" w:rsidRPr="00107B76" w:rsidRDefault="0029376A" w:rsidP="00AD73C5">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A</w:t>
      </w:r>
      <w:r w:rsidR="001F4CDC" w:rsidRPr="00107B76">
        <w:rPr>
          <w:lang w:val="en-GB"/>
        </w:rPr>
        <w:t>ll</w:t>
      </w:r>
      <w:r w:rsidRPr="00107B76">
        <w:rPr>
          <w:lang w:val="en-GB"/>
        </w:rPr>
        <w:t xml:space="preserve"> project</w:t>
      </w:r>
      <w:r w:rsidR="001F4CDC" w:rsidRPr="00107B76">
        <w:rPr>
          <w:lang w:val="en-GB"/>
        </w:rPr>
        <w:t>s</w:t>
      </w:r>
      <w:r w:rsidRPr="00107B76">
        <w:rPr>
          <w:lang w:val="en-GB"/>
        </w:rPr>
        <w:t xml:space="preserve"> shall</w:t>
      </w:r>
      <w:r w:rsidR="00EB1ACC" w:rsidRPr="00107B76">
        <w:rPr>
          <w:lang w:val="en-GB"/>
        </w:rPr>
        <w:t xml:space="preserve"> </w:t>
      </w:r>
      <w:r w:rsidR="00F97261" w:rsidRPr="00107B76">
        <w:rPr>
          <w:lang w:val="en-GB"/>
        </w:rPr>
        <w:t xml:space="preserve">include and measure </w:t>
      </w:r>
      <w:r w:rsidR="00832A56" w:rsidRPr="00107B76">
        <w:rPr>
          <w:lang w:val="en-GB"/>
        </w:rPr>
        <w:t>t</w:t>
      </w:r>
      <w:r w:rsidRPr="00107B76">
        <w:rPr>
          <w:lang w:val="en-GB"/>
        </w:rPr>
        <w:t>he following outcome indicators:</w:t>
      </w:r>
    </w:p>
    <w:p w14:paraId="4C3D7068" w14:textId="6EAC86B7" w:rsidR="00BE1240" w:rsidRPr="00107B76" w:rsidRDefault="00C233FA"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Project promoter’s</w:t>
      </w:r>
      <w:r w:rsidR="0046049A" w:rsidRPr="00107B76">
        <w:rPr>
          <w:lang w:val="en-GB"/>
        </w:rPr>
        <w:t xml:space="preserve"> </w:t>
      </w:r>
      <w:r w:rsidR="0022452E" w:rsidRPr="00107B76">
        <w:rPr>
          <w:lang w:val="en-GB"/>
        </w:rPr>
        <w:t xml:space="preserve">estimated </w:t>
      </w:r>
      <w:r w:rsidRPr="00107B76">
        <w:rPr>
          <w:lang w:val="en-GB"/>
        </w:rPr>
        <w:t>annual growth in turnover</w:t>
      </w:r>
      <w:r w:rsidR="00DC098C" w:rsidRPr="00107B76">
        <w:rPr>
          <w:lang w:val="en-GB"/>
        </w:rPr>
        <w:t>;</w:t>
      </w:r>
    </w:p>
    <w:p w14:paraId="2CD9E7EC" w14:textId="13276D50" w:rsidR="00BE1240" w:rsidRPr="00107B76" w:rsidRDefault="00C233FA"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Project promoter’s </w:t>
      </w:r>
      <w:r w:rsidR="0092512E" w:rsidRPr="00107B76">
        <w:rPr>
          <w:lang w:val="en-GB"/>
        </w:rPr>
        <w:t xml:space="preserve">estimated </w:t>
      </w:r>
      <w:r w:rsidRPr="00107B76">
        <w:rPr>
          <w:lang w:val="en-GB"/>
        </w:rPr>
        <w:t xml:space="preserve">annual </w:t>
      </w:r>
      <w:r w:rsidR="00A01BB6" w:rsidRPr="00107B76">
        <w:rPr>
          <w:lang w:val="en-GB"/>
        </w:rPr>
        <w:t>growth in net operational profit</w:t>
      </w:r>
      <w:r w:rsidR="00BE1240" w:rsidRPr="00107B76">
        <w:rPr>
          <w:lang w:val="en-GB"/>
        </w:rPr>
        <w:t>;</w:t>
      </w:r>
    </w:p>
    <w:p w14:paraId="020EEB28" w14:textId="4EE7B3CD" w:rsidR="001F4CDC" w:rsidRPr="00107B76" w:rsidRDefault="001F4CDC" w:rsidP="001F4CDC">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Projects which implement activities for </w:t>
      </w:r>
      <w:r w:rsidRPr="00107B76">
        <w:rPr>
          <w:i/>
          <w:iCs/>
          <w:lang w:val="en-GB"/>
        </w:rPr>
        <w:t>Development of new green products/ technologies</w:t>
      </w:r>
      <w:r w:rsidRPr="00107B76">
        <w:rPr>
          <w:lang w:val="en-GB"/>
        </w:rPr>
        <w:t xml:space="preserve"> (see subparagraph 13.1) must include and measure the following outcome indicator: </w:t>
      </w:r>
    </w:p>
    <w:p w14:paraId="7E994F19" w14:textId="29E9B184" w:rsidR="00571E42" w:rsidRPr="00107B76" w:rsidRDefault="00571E42"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Number of new green products/technologies developed</w:t>
      </w:r>
      <w:r w:rsidR="00CD00DE" w:rsidRPr="00107B76">
        <w:rPr>
          <w:lang w:val="en-GB"/>
        </w:rPr>
        <w:t>;</w:t>
      </w:r>
      <w:r w:rsidRPr="00107B76">
        <w:rPr>
          <w:lang w:val="en-GB"/>
        </w:rPr>
        <w:t xml:space="preserve"> </w:t>
      </w:r>
    </w:p>
    <w:p w14:paraId="054BD9F7" w14:textId="080FEF73" w:rsidR="001F4CDC" w:rsidRPr="00107B76" w:rsidRDefault="001F4CDC" w:rsidP="001F4CDC">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Projects which implement activities for </w:t>
      </w:r>
      <w:r w:rsidRPr="00107B76">
        <w:rPr>
          <w:i/>
          <w:iCs/>
          <w:lang w:val="en-GB"/>
        </w:rPr>
        <w:t>Commercialisation of new green products/ technologies</w:t>
      </w:r>
      <w:r w:rsidRPr="00107B76">
        <w:rPr>
          <w:lang w:val="en-GB"/>
        </w:rPr>
        <w:t xml:space="preserve"> (see subparagraph 13.2) must include and measure the following outcome indicator:</w:t>
      </w:r>
    </w:p>
    <w:p w14:paraId="0576DB32" w14:textId="6661C5B3" w:rsidR="00CD00DE" w:rsidRPr="00107B76" w:rsidRDefault="00CD00DE"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Number of new green products/ technologies commercialised;</w:t>
      </w:r>
    </w:p>
    <w:p w14:paraId="4FEA4356" w14:textId="325BE39C" w:rsidR="001F4CDC" w:rsidRPr="00107B76" w:rsidRDefault="001F4CDC" w:rsidP="000E36CD">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Projects which implement activities for </w:t>
      </w:r>
      <w:r w:rsidRPr="00107B76">
        <w:rPr>
          <w:i/>
          <w:iCs/>
          <w:lang w:val="en-GB"/>
        </w:rPr>
        <w:t xml:space="preserve">Application of new products/ technologies </w:t>
      </w:r>
      <w:r w:rsidRPr="00107B76">
        <w:rPr>
          <w:lang w:val="en-GB"/>
        </w:rPr>
        <w:t>(see subparagraph 13.</w:t>
      </w:r>
      <w:r w:rsidR="00832A56" w:rsidRPr="00107B76">
        <w:rPr>
          <w:lang w:val="en-GB"/>
        </w:rPr>
        <w:t>3</w:t>
      </w:r>
      <w:r w:rsidRPr="00107B76">
        <w:rPr>
          <w:lang w:val="en-GB"/>
        </w:rPr>
        <w:t>)</w:t>
      </w:r>
      <w:r w:rsidR="000E36CD" w:rsidRPr="00107B76">
        <w:rPr>
          <w:lang w:val="en-GB"/>
        </w:rPr>
        <w:t xml:space="preserve"> must include and measure the following outcome indicator:</w:t>
      </w:r>
    </w:p>
    <w:p w14:paraId="7D39B26C" w14:textId="281A4F93" w:rsidR="00172E97" w:rsidRPr="00107B76" w:rsidRDefault="00172E97"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Number of new green products/ technologies applied (new-to-enterprise)</w:t>
      </w:r>
      <w:r w:rsidR="00DC098C" w:rsidRPr="00107B76">
        <w:rPr>
          <w:lang w:val="en-GB"/>
        </w:rPr>
        <w:t>;</w:t>
      </w:r>
    </w:p>
    <w:p w14:paraId="146B711A" w14:textId="08BD0722" w:rsidR="000E36CD" w:rsidRPr="00107B76" w:rsidRDefault="000E36CD" w:rsidP="000E36CD">
      <w:pPr>
        <w:tabs>
          <w:tab w:val="left" w:pos="142"/>
          <w:tab w:val="left" w:pos="426"/>
          <w:tab w:val="left" w:pos="993"/>
          <w:tab w:val="left" w:pos="1134"/>
        </w:tabs>
        <w:autoSpaceDE w:val="0"/>
        <w:autoSpaceDN w:val="0"/>
        <w:adjustRightInd w:val="0"/>
        <w:jc w:val="both"/>
        <w:rPr>
          <w:lang w:val="en-GB"/>
        </w:rPr>
      </w:pPr>
      <w:r w:rsidRPr="00107B76">
        <w:rPr>
          <w:lang w:val="en-GB"/>
        </w:rPr>
        <w:lastRenderedPageBreak/>
        <w:t>and at least one of the two following outcome indicators:</w:t>
      </w:r>
    </w:p>
    <w:p w14:paraId="5CAA73BB" w14:textId="77777777" w:rsidR="00396265" w:rsidRPr="00107B76" w:rsidRDefault="006B6B79"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Estimated annual decrease of CO2 emissions</w:t>
      </w:r>
      <w:r w:rsidR="00D0700C" w:rsidRPr="00107B76">
        <w:rPr>
          <w:lang w:val="en-GB"/>
        </w:rPr>
        <w:t xml:space="preserve"> (t, CO</w:t>
      </w:r>
      <w:r w:rsidR="00D5041B" w:rsidRPr="00107B76">
        <w:rPr>
          <w:lang w:val="en-GB"/>
        </w:rPr>
        <w:t xml:space="preserve"> equivalent)</w:t>
      </w:r>
      <w:r w:rsidRPr="00107B76">
        <w:rPr>
          <w:lang w:val="en-GB"/>
        </w:rPr>
        <w:t>;</w:t>
      </w:r>
    </w:p>
    <w:p w14:paraId="47A78A0A" w14:textId="53AC038B" w:rsidR="00B60A8C" w:rsidRPr="00107B76" w:rsidRDefault="003E78A4" w:rsidP="00411E28">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Estimated annual decrease of energy consumption (MWh).</w:t>
      </w:r>
    </w:p>
    <w:p w14:paraId="53E8D209" w14:textId="6E2DE413" w:rsidR="000E36CD" w:rsidRPr="00107B76" w:rsidRDefault="00A373F8" w:rsidP="00AD73C5">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The following outcome indicators are voluntary, depending on the nature of the project</w:t>
      </w:r>
      <w:r w:rsidR="000E36CD" w:rsidRPr="00107B76">
        <w:rPr>
          <w:lang w:val="en-GB"/>
        </w:rPr>
        <w:t>:</w:t>
      </w:r>
    </w:p>
    <w:p w14:paraId="25CE9277" w14:textId="440C527D" w:rsidR="000E36CD" w:rsidRPr="00107B76" w:rsidRDefault="000E36CD" w:rsidP="00127C52">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Jobs created</w:t>
      </w:r>
      <w:r w:rsidR="000F2FB6" w:rsidRPr="00107B76">
        <w:rPr>
          <w:lang w:val="en-GB"/>
        </w:rPr>
        <w:t xml:space="preserve">. This outcome indicator is mandatory for all projects </w:t>
      </w:r>
      <w:r w:rsidR="00F84CF7" w:rsidRPr="00107B76">
        <w:rPr>
          <w:lang w:val="en-GB"/>
        </w:rPr>
        <w:t xml:space="preserve">if </w:t>
      </w:r>
      <w:r w:rsidR="00D21B7F" w:rsidRPr="00107B76">
        <w:rPr>
          <w:lang w:val="en-GB"/>
        </w:rPr>
        <w:t xml:space="preserve">upon submission of an application </w:t>
      </w:r>
      <w:r w:rsidR="00F84CF7" w:rsidRPr="00107B76">
        <w:rPr>
          <w:lang w:val="en-GB"/>
        </w:rPr>
        <w:t xml:space="preserve">an applicant is not a private entity registered in Lithuania. </w:t>
      </w:r>
    </w:p>
    <w:p w14:paraId="00D5A7FD" w14:textId="0910DCA4" w:rsidR="000E36CD" w:rsidRPr="00107B76" w:rsidRDefault="000E36CD" w:rsidP="000E36CD">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Number of registered applications for Intellectual Property Protection</w:t>
      </w:r>
      <w:r w:rsidR="0092512E" w:rsidRPr="00107B76">
        <w:rPr>
          <w:lang w:val="en-GB"/>
        </w:rPr>
        <w:t>.</w:t>
      </w:r>
      <w:r w:rsidRPr="00107B76">
        <w:rPr>
          <w:lang w:val="en-GB"/>
        </w:rPr>
        <w:t xml:space="preserve"> </w:t>
      </w:r>
    </w:p>
    <w:p w14:paraId="43C2CBDC" w14:textId="47409EF9" w:rsidR="00CD3190" w:rsidRPr="00107B76" w:rsidRDefault="00D21DFF" w:rsidP="00AD73C5">
      <w:pPr>
        <w:pStyle w:val="ListParagraph"/>
        <w:numPr>
          <w:ilvl w:val="0"/>
          <w:numId w:val="3"/>
        </w:numPr>
        <w:tabs>
          <w:tab w:val="left" w:pos="426"/>
          <w:tab w:val="left" w:pos="993"/>
          <w:tab w:val="left" w:pos="1134"/>
        </w:tabs>
        <w:autoSpaceDE w:val="0"/>
        <w:autoSpaceDN w:val="0"/>
        <w:adjustRightInd w:val="0"/>
        <w:ind w:left="0" w:firstLine="709"/>
        <w:contextualSpacing w:val="0"/>
        <w:jc w:val="both"/>
        <w:rPr>
          <w:lang w:val="en-GB"/>
        </w:rPr>
      </w:pPr>
      <w:r w:rsidRPr="00107B76">
        <w:rPr>
          <w:color w:val="000000"/>
          <w:lang w:val="en-GB"/>
        </w:rPr>
        <w:t xml:space="preserve">To prove project </w:t>
      </w:r>
      <w:r w:rsidR="00E824B3" w:rsidRPr="00107B76">
        <w:rPr>
          <w:color w:val="000000"/>
          <w:lang w:val="en-GB"/>
        </w:rPr>
        <w:t>readiness</w:t>
      </w:r>
      <w:r w:rsidRPr="00107B76">
        <w:rPr>
          <w:color w:val="000000"/>
          <w:lang w:val="en-GB"/>
        </w:rPr>
        <w:t xml:space="preserve"> a</w:t>
      </w:r>
      <w:r w:rsidR="00725A1F" w:rsidRPr="00107B76">
        <w:rPr>
          <w:color w:val="000000"/>
          <w:lang w:val="en-GB"/>
        </w:rPr>
        <w:t xml:space="preserve"> business plan</w:t>
      </w:r>
      <w:r w:rsidRPr="00107B76">
        <w:rPr>
          <w:color w:val="000000"/>
          <w:lang w:val="en-GB"/>
        </w:rPr>
        <w:t xml:space="preserve"> will </w:t>
      </w:r>
      <w:r w:rsidR="003A4012" w:rsidRPr="00107B76">
        <w:rPr>
          <w:color w:val="000000"/>
          <w:lang w:val="en-GB"/>
        </w:rPr>
        <w:t>have to be submitted</w:t>
      </w:r>
      <w:r w:rsidR="00725A1F" w:rsidRPr="00107B76">
        <w:rPr>
          <w:color w:val="000000"/>
          <w:lang w:val="en-GB"/>
        </w:rPr>
        <w:t xml:space="preserve">. If </w:t>
      </w:r>
      <w:r w:rsidR="00293C8F" w:rsidRPr="00107B76">
        <w:rPr>
          <w:color w:val="000000"/>
          <w:lang w:val="en-GB"/>
        </w:rPr>
        <w:t>the</w:t>
      </w:r>
      <w:r w:rsidR="005815B7" w:rsidRPr="00107B76">
        <w:rPr>
          <w:color w:val="000000"/>
          <w:lang w:val="en-GB"/>
        </w:rPr>
        <w:t xml:space="preserve"> </w:t>
      </w:r>
      <w:r w:rsidR="00363D9F" w:rsidRPr="00107B76">
        <w:rPr>
          <w:color w:val="000000"/>
          <w:lang w:val="en-GB"/>
        </w:rPr>
        <w:t xml:space="preserve">requirement is </w:t>
      </w:r>
      <w:r w:rsidR="005815B7" w:rsidRPr="00107B76">
        <w:rPr>
          <w:color w:val="000000"/>
          <w:lang w:val="en-GB"/>
        </w:rPr>
        <w:t>not</w:t>
      </w:r>
      <w:r w:rsidR="00363D9F" w:rsidRPr="00107B76">
        <w:rPr>
          <w:color w:val="000000"/>
          <w:lang w:val="en-GB"/>
        </w:rPr>
        <w:t xml:space="preserve"> </w:t>
      </w:r>
      <w:r w:rsidR="005815B7" w:rsidRPr="00107B76">
        <w:rPr>
          <w:color w:val="000000"/>
          <w:lang w:val="en-GB"/>
        </w:rPr>
        <w:t>fulfilled</w:t>
      </w:r>
      <w:r w:rsidR="00363D9F" w:rsidRPr="00107B76">
        <w:rPr>
          <w:color w:val="000000"/>
          <w:lang w:val="en-GB"/>
        </w:rPr>
        <w:t xml:space="preserve"> and a </w:t>
      </w:r>
      <w:r w:rsidR="00725A1F" w:rsidRPr="00107B76">
        <w:rPr>
          <w:color w:val="000000"/>
          <w:lang w:val="en-GB"/>
        </w:rPr>
        <w:t>business plan is not submitted toget</w:t>
      </w:r>
      <w:r w:rsidR="00363D9F" w:rsidRPr="00107B76">
        <w:rPr>
          <w:color w:val="000000"/>
          <w:lang w:val="en-GB"/>
        </w:rPr>
        <w:t>h</w:t>
      </w:r>
      <w:r w:rsidR="00725A1F" w:rsidRPr="00107B76">
        <w:rPr>
          <w:color w:val="000000"/>
          <w:lang w:val="en-GB"/>
        </w:rPr>
        <w:t xml:space="preserve">er with an application, </w:t>
      </w:r>
      <w:r w:rsidR="003A08B2" w:rsidRPr="00107B76">
        <w:rPr>
          <w:color w:val="000000"/>
          <w:lang w:val="en-GB"/>
        </w:rPr>
        <w:t>such</w:t>
      </w:r>
      <w:r w:rsidR="00363D9F" w:rsidRPr="00107B76">
        <w:rPr>
          <w:color w:val="000000"/>
          <w:lang w:val="en-GB"/>
        </w:rPr>
        <w:t xml:space="preserve"> application </w:t>
      </w:r>
      <w:r w:rsidR="003A4012" w:rsidRPr="00107B76">
        <w:rPr>
          <w:color w:val="000000"/>
          <w:lang w:val="en-GB"/>
        </w:rPr>
        <w:t>will be</w:t>
      </w:r>
      <w:r w:rsidR="00363D9F" w:rsidRPr="00107B76">
        <w:rPr>
          <w:color w:val="000000"/>
          <w:lang w:val="en-GB"/>
        </w:rPr>
        <w:t xml:space="preserve"> </w:t>
      </w:r>
      <w:r w:rsidR="00153D66" w:rsidRPr="00107B76">
        <w:rPr>
          <w:color w:val="000000"/>
          <w:lang w:val="en-GB"/>
        </w:rPr>
        <w:t>rejected without request to</w:t>
      </w:r>
      <w:r w:rsidR="000E0863" w:rsidRPr="00107B76">
        <w:rPr>
          <w:color w:val="000000"/>
          <w:lang w:val="en-GB"/>
        </w:rPr>
        <w:t xml:space="preserve"> </w:t>
      </w:r>
      <w:r w:rsidR="008F35D7" w:rsidRPr="00107B76">
        <w:rPr>
          <w:color w:val="000000"/>
          <w:lang w:val="en-GB"/>
        </w:rPr>
        <w:t>revise</w:t>
      </w:r>
      <w:r w:rsidR="009314BE" w:rsidRPr="00107B76">
        <w:rPr>
          <w:color w:val="000000"/>
          <w:lang w:val="en-GB"/>
        </w:rPr>
        <w:t xml:space="preserve"> an application</w:t>
      </w:r>
      <w:r w:rsidR="000E0863" w:rsidRPr="00107B76">
        <w:rPr>
          <w:color w:val="000000"/>
          <w:lang w:val="en-GB"/>
        </w:rPr>
        <w:t xml:space="preserve"> and provide supplementary documents. </w:t>
      </w:r>
      <w:r w:rsidR="00B95168" w:rsidRPr="00107B76">
        <w:rPr>
          <w:color w:val="000000"/>
          <w:lang w:val="en-GB"/>
        </w:rPr>
        <w:t xml:space="preserve">A recommended template of a business plan </w:t>
      </w:r>
      <w:r w:rsidR="00832A56" w:rsidRPr="00107B76">
        <w:rPr>
          <w:color w:val="000000"/>
          <w:lang w:val="en-GB"/>
        </w:rPr>
        <w:t xml:space="preserve">in Lithuanian </w:t>
      </w:r>
      <w:r w:rsidR="000F7471" w:rsidRPr="00107B76">
        <w:rPr>
          <w:color w:val="000000"/>
          <w:lang w:val="en-GB"/>
        </w:rPr>
        <w:t xml:space="preserve">and English </w:t>
      </w:r>
      <w:r w:rsidR="00B95168" w:rsidRPr="00107B76">
        <w:rPr>
          <w:color w:val="000000"/>
          <w:lang w:val="en-GB"/>
        </w:rPr>
        <w:t xml:space="preserve">is provided </w:t>
      </w:r>
      <w:r w:rsidR="001139F8" w:rsidRPr="00107B76">
        <w:rPr>
          <w:color w:val="000000"/>
          <w:lang w:val="en-GB"/>
        </w:rPr>
        <w:t>with the documents of the Call. A business plan can be drafted in</w:t>
      </w:r>
      <w:r w:rsidR="00BB03F6" w:rsidRPr="00107B76">
        <w:rPr>
          <w:color w:val="000000"/>
          <w:lang w:val="en-GB"/>
        </w:rPr>
        <w:t xml:space="preserve"> the Lithuanian or English language. If a business plan </w:t>
      </w:r>
      <w:r w:rsidR="003525D1" w:rsidRPr="00107B76">
        <w:rPr>
          <w:color w:val="000000"/>
          <w:lang w:val="en-GB"/>
        </w:rPr>
        <w:t xml:space="preserve">is </w:t>
      </w:r>
      <w:r w:rsidR="002D759F" w:rsidRPr="00107B76">
        <w:rPr>
          <w:color w:val="000000"/>
          <w:lang w:val="en-GB"/>
        </w:rPr>
        <w:t xml:space="preserve">not drafted </w:t>
      </w:r>
      <w:r w:rsidR="00AA1A0D" w:rsidRPr="00107B76">
        <w:rPr>
          <w:color w:val="000000"/>
          <w:lang w:val="en-GB"/>
        </w:rPr>
        <w:t>according</w:t>
      </w:r>
      <w:r w:rsidR="002D759F" w:rsidRPr="00107B76">
        <w:rPr>
          <w:color w:val="000000"/>
          <w:lang w:val="en-GB"/>
        </w:rPr>
        <w:t xml:space="preserve"> to </w:t>
      </w:r>
      <w:r w:rsidR="001F59DE" w:rsidRPr="00107B76">
        <w:rPr>
          <w:color w:val="000000"/>
          <w:lang w:val="en-GB"/>
        </w:rPr>
        <w:t>the</w:t>
      </w:r>
      <w:r w:rsidR="002D759F" w:rsidRPr="00107B76">
        <w:rPr>
          <w:color w:val="000000"/>
          <w:lang w:val="en-GB"/>
        </w:rPr>
        <w:t xml:space="preserve"> recommended template, it shall contain all the information </w:t>
      </w:r>
      <w:r w:rsidR="00AA1A0D" w:rsidRPr="00107B76">
        <w:rPr>
          <w:color w:val="000000"/>
          <w:lang w:val="en-GB"/>
        </w:rPr>
        <w:t>indicated</w:t>
      </w:r>
      <w:r w:rsidR="00E44356" w:rsidRPr="00107B76">
        <w:rPr>
          <w:color w:val="000000"/>
          <w:lang w:val="en-GB"/>
        </w:rPr>
        <w:t xml:space="preserve"> in the </w:t>
      </w:r>
      <w:r w:rsidR="00E44356" w:rsidRPr="00107B76">
        <w:rPr>
          <w:lang w:val="en-GB"/>
        </w:rPr>
        <w:t xml:space="preserve">recommended template. </w:t>
      </w:r>
    </w:p>
    <w:p w14:paraId="11B4FD3F" w14:textId="77777777" w:rsidR="00293C8F" w:rsidRPr="00107B76" w:rsidRDefault="0094361A" w:rsidP="00AD73C5">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All projects shall be drafted in accordance with the principles of good governance (the possibilities of socially or otherwise isolated or differentiated groups of the society to enjoy the same rights), sustainable development (alignment of the objectives of economic and social development and environmental protection, having regard to the multiple interdependence and foreseen consequences of the implementation) and gender equality (assurance of equal opportunities for women and men and elimination of any discrimination on the basis of ethnic or racial dependence, age, disability, sexual orientation, religion or belief). The impact of the project on these principles may not be negative. The project must promote implementation of the principle of sustainable development.</w:t>
      </w:r>
    </w:p>
    <w:p w14:paraId="6451735D" w14:textId="33F9DE29" w:rsidR="00456D6D" w:rsidRPr="00107B76" w:rsidRDefault="00293C8F" w:rsidP="00AD73C5">
      <w:pPr>
        <w:pStyle w:val="ListParagraph"/>
        <w:numPr>
          <w:ilvl w:val="0"/>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A </w:t>
      </w:r>
      <w:r w:rsidR="00456D6D" w:rsidRPr="00107B76">
        <w:rPr>
          <w:lang w:val="en-GB"/>
        </w:rPr>
        <w:t xml:space="preserve">project and project activities shall not be previously or presently funded and, upon the allocation of the funding, submitted for funding under any other programmes financed from the </w:t>
      </w:r>
      <w:r w:rsidR="001F59DE" w:rsidRPr="00107B76">
        <w:rPr>
          <w:lang w:val="en-GB"/>
        </w:rPr>
        <w:t>S</w:t>
      </w:r>
      <w:r w:rsidR="00456D6D" w:rsidRPr="00107B76">
        <w:rPr>
          <w:lang w:val="en-GB"/>
        </w:rPr>
        <w:t>tate budget, the European Union or any other international assistance if this results in the eligible expenditure of the project or any part thereof being funded several times</w:t>
      </w:r>
      <w:r w:rsidR="00BE02CF" w:rsidRPr="00107B76">
        <w:rPr>
          <w:lang w:val="en-GB"/>
        </w:rPr>
        <w:t xml:space="preserve">, including </w:t>
      </w:r>
      <w:r w:rsidR="00BE02CF" w:rsidRPr="00107B76">
        <w:rPr>
          <w:i/>
          <w:iCs/>
          <w:lang w:val="en-GB"/>
        </w:rPr>
        <w:t>de minimis aid</w:t>
      </w:r>
      <w:r w:rsidR="00BE02CF" w:rsidRPr="00107B76">
        <w:rPr>
          <w:lang w:val="en-GB"/>
        </w:rPr>
        <w:t>.</w:t>
      </w:r>
    </w:p>
    <w:p w14:paraId="651AF115" w14:textId="77777777" w:rsidR="00C155F4" w:rsidRPr="00107B76" w:rsidRDefault="00C155F4" w:rsidP="005F1982">
      <w:pPr>
        <w:rPr>
          <w:b/>
          <w:u w:val="single"/>
          <w:lang w:val="en-GB"/>
        </w:rPr>
      </w:pPr>
    </w:p>
    <w:p w14:paraId="054B8DC9" w14:textId="7E660794" w:rsidR="00C155F4" w:rsidRPr="00107B76" w:rsidRDefault="000906BA" w:rsidP="005F1982">
      <w:pPr>
        <w:jc w:val="center"/>
        <w:rPr>
          <w:color w:val="000000"/>
          <w:lang w:val="en-GB"/>
        </w:rPr>
      </w:pPr>
      <w:r w:rsidRPr="00107B76">
        <w:rPr>
          <w:b/>
          <w:bCs/>
          <w:color w:val="000000"/>
          <w:lang w:val="en-GB"/>
        </w:rPr>
        <w:t>CHAPTER 4</w:t>
      </w:r>
    </w:p>
    <w:p w14:paraId="750EA947" w14:textId="3219C435" w:rsidR="00C155F4" w:rsidRPr="00107B76" w:rsidRDefault="00B46522" w:rsidP="00FB4F08">
      <w:pPr>
        <w:jc w:val="center"/>
        <w:rPr>
          <w:color w:val="000000"/>
          <w:lang w:val="en-GB"/>
        </w:rPr>
      </w:pPr>
      <w:r w:rsidRPr="00107B76">
        <w:rPr>
          <w:b/>
          <w:bCs/>
          <w:color w:val="000000"/>
          <w:lang w:val="en-GB"/>
        </w:rPr>
        <w:t>ELIGIBLE EXPENDITURE</w:t>
      </w:r>
      <w:r w:rsidR="005A1E4F" w:rsidRPr="00107B76">
        <w:rPr>
          <w:b/>
          <w:bCs/>
          <w:color w:val="000000"/>
          <w:lang w:val="en-GB"/>
        </w:rPr>
        <w:t xml:space="preserve"> </w:t>
      </w:r>
      <w:r w:rsidR="00B93C2C" w:rsidRPr="00107B76">
        <w:rPr>
          <w:b/>
          <w:bCs/>
          <w:color w:val="000000"/>
          <w:lang w:val="en-GB"/>
        </w:rPr>
        <w:t>AND REQUIREMENTS</w:t>
      </w:r>
      <w:r w:rsidR="00261D6E" w:rsidRPr="00107B76">
        <w:rPr>
          <w:b/>
          <w:bCs/>
          <w:color w:val="000000"/>
          <w:lang w:val="en-GB"/>
        </w:rPr>
        <w:t xml:space="preserve"> FOR FUNDING</w:t>
      </w:r>
    </w:p>
    <w:p w14:paraId="483F582F" w14:textId="77777777" w:rsidR="00C155F4" w:rsidRPr="00107B76" w:rsidRDefault="00C155F4" w:rsidP="005F1982">
      <w:pPr>
        <w:jc w:val="center"/>
        <w:rPr>
          <w:b/>
          <w:lang w:val="en-GB"/>
        </w:rPr>
      </w:pPr>
    </w:p>
    <w:p w14:paraId="72029EC6" w14:textId="57F4F33A" w:rsidR="00C155F4" w:rsidRPr="00107B76" w:rsidRDefault="00726B43" w:rsidP="005F1982">
      <w:pPr>
        <w:jc w:val="center"/>
        <w:rPr>
          <w:b/>
          <w:bCs/>
          <w:color w:val="000000"/>
          <w:lang w:val="en-GB"/>
        </w:rPr>
      </w:pPr>
      <w:r w:rsidRPr="00107B76">
        <w:rPr>
          <w:b/>
          <w:bCs/>
          <w:color w:val="000000"/>
          <w:lang w:val="en-GB"/>
        </w:rPr>
        <w:t>Article 1</w:t>
      </w:r>
    </w:p>
    <w:p w14:paraId="699206D1" w14:textId="121CBCD8" w:rsidR="00C155F4" w:rsidRPr="00107B76" w:rsidRDefault="009C13CF" w:rsidP="005F1982">
      <w:pPr>
        <w:jc w:val="center"/>
        <w:rPr>
          <w:b/>
          <w:bCs/>
          <w:color w:val="000000"/>
          <w:lang w:val="en-GB"/>
        </w:rPr>
      </w:pPr>
      <w:r w:rsidRPr="00107B76">
        <w:rPr>
          <w:b/>
          <w:bCs/>
          <w:color w:val="000000"/>
          <w:lang w:val="en-GB"/>
        </w:rPr>
        <w:t xml:space="preserve">GENERAL </w:t>
      </w:r>
      <w:r w:rsidR="00726B43" w:rsidRPr="00107B76">
        <w:rPr>
          <w:b/>
          <w:bCs/>
          <w:color w:val="000000"/>
          <w:lang w:val="en-GB"/>
        </w:rPr>
        <w:t>PROVISIONS</w:t>
      </w:r>
    </w:p>
    <w:p w14:paraId="26237B5D" w14:textId="77777777" w:rsidR="00C155F4" w:rsidRPr="00107B76" w:rsidRDefault="00C155F4" w:rsidP="005F1982">
      <w:pPr>
        <w:jc w:val="center"/>
        <w:rPr>
          <w:color w:val="000000"/>
          <w:sz w:val="27"/>
          <w:szCs w:val="27"/>
          <w:lang w:val="en-GB"/>
        </w:rPr>
      </w:pPr>
    </w:p>
    <w:p w14:paraId="561106A7" w14:textId="507F770C" w:rsidR="0053663E" w:rsidRPr="00107B76" w:rsidRDefault="0053663E" w:rsidP="00AD73C5">
      <w:pPr>
        <w:pStyle w:val="ListParagraph"/>
        <w:numPr>
          <w:ilvl w:val="0"/>
          <w:numId w:val="3"/>
        </w:numPr>
        <w:tabs>
          <w:tab w:val="left" w:pos="993"/>
          <w:tab w:val="left" w:pos="1134"/>
          <w:tab w:val="left" w:pos="1276"/>
        </w:tabs>
        <w:ind w:left="0" w:firstLine="709"/>
        <w:contextualSpacing w:val="0"/>
        <w:jc w:val="both"/>
        <w:rPr>
          <w:lang w:val="en-GB"/>
        </w:rPr>
      </w:pPr>
      <w:r w:rsidRPr="00107B76">
        <w:rPr>
          <w:lang w:val="en-GB"/>
        </w:rPr>
        <w:t xml:space="preserve">Eligible project expenditure shall meet the requirements laid down in the </w:t>
      </w:r>
      <w:r w:rsidR="00832A56" w:rsidRPr="00107B76">
        <w:rPr>
          <w:lang w:val="en-GB"/>
        </w:rPr>
        <w:t xml:space="preserve">Norway Grants </w:t>
      </w:r>
      <w:r w:rsidRPr="00107B76">
        <w:rPr>
          <w:lang w:val="en-GB"/>
        </w:rPr>
        <w:t>Regulation</w:t>
      </w:r>
      <w:r w:rsidR="000E7BD7" w:rsidRPr="00107B76">
        <w:rPr>
          <w:lang w:val="en-GB"/>
        </w:rPr>
        <w:t xml:space="preserve"> (Chapter 8)</w:t>
      </w:r>
      <w:r w:rsidRPr="00107B76">
        <w:rPr>
          <w:lang w:val="en-GB"/>
        </w:rPr>
        <w:t xml:space="preserve"> and the </w:t>
      </w:r>
      <w:r w:rsidR="00832A56" w:rsidRPr="00107B76">
        <w:rPr>
          <w:lang w:val="en-GB"/>
        </w:rPr>
        <w:t>Norway Grants Guidelines</w:t>
      </w:r>
      <w:r w:rsidR="00EB4BFD" w:rsidRPr="00107B76">
        <w:rPr>
          <w:lang w:val="en-GB"/>
        </w:rPr>
        <w:t xml:space="preserve"> and the provisions of </w:t>
      </w:r>
      <w:r w:rsidR="00F53D35" w:rsidRPr="00107B76">
        <w:rPr>
          <w:lang w:val="en-GB"/>
        </w:rPr>
        <w:t>the</w:t>
      </w:r>
      <w:r w:rsidR="00EB4BFD" w:rsidRPr="00107B76">
        <w:rPr>
          <w:lang w:val="en-GB"/>
        </w:rPr>
        <w:t xml:space="preserve"> Chapter XIX of</w:t>
      </w:r>
      <w:r w:rsidR="007F6345" w:rsidRPr="00107B76">
        <w:rPr>
          <w:lang w:val="en-GB"/>
        </w:rPr>
        <w:t xml:space="preserve"> </w:t>
      </w:r>
      <w:r w:rsidR="00832A56" w:rsidRPr="00107B76">
        <w:rPr>
          <w:lang w:val="en-GB"/>
        </w:rPr>
        <w:t>National Rules</w:t>
      </w:r>
      <w:r w:rsidRPr="00107B76">
        <w:rPr>
          <w:lang w:val="en-GB"/>
        </w:rPr>
        <w:t>.</w:t>
      </w:r>
    </w:p>
    <w:p w14:paraId="02C5DC75" w14:textId="357C8101" w:rsidR="00A02400" w:rsidRPr="00107B76" w:rsidRDefault="006E3945" w:rsidP="00AD73C5">
      <w:pPr>
        <w:pStyle w:val="ListParagraph"/>
        <w:numPr>
          <w:ilvl w:val="0"/>
          <w:numId w:val="3"/>
        </w:numPr>
        <w:tabs>
          <w:tab w:val="left" w:pos="993"/>
          <w:tab w:val="left" w:pos="1134"/>
          <w:tab w:val="left" w:pos="1276"/>
        </w:tabs>
        <w:ind w:left="0" w:firstLine="709"/>
        <w:contextualSpacing w:val="0"/>
        <w:jc w:val="both"/>
        <w:rPr>
          <w:lang w:val="en-GB"/>
        </w:rPr>
      </w:pPr>
      <w:r w:rsidRPr="00107B76">
        <w:rPr>
          <w:lang w:val="en-GB"/>
        </w:rPr>
        <w:t>The maximum amount of grant assistance applied for shall be Euro 2,000,000.</w:t>
      </w:r>
      <w:r w:rsidR="00A02400" w:rsidRPr="00107B76">
        <w:rPr>
          <w:lang w:val="en-GB"/>
        </w:rPr>
        <w:t xml:space="preserve"> </w:t>
      </w:r>
      <w:r w:rsidR="00682444" w:rsidRPr="00107B76">
        <w:rPr>
          <w:lang w:val="en-GB"/>
        </w:rPr>
        <w:t>The maximum amount of grant assistance under SGS1 applied for shall be Euro 200,000.</w:t>
      </w:r>
    </w:p>
    <w:p w14:paraId="0B042D07" w14:textId="7077913E" w:rsidR="006E3945" w:rsidRPr="00107B76" w:rsidRDefault="00401CE2" w:rsidP="00AD73C5">
      <w:pPr>
        <w:pStyle w:val="ListParagraph"/>
        <w:numPr>
          <w:ilvl w:val="0"/>
          <w:numId w:val="3"/>
        </w:numPr>
        <w:tabs>
          <w:tab w:val="left" w:pos="993"/>
          <w:tab w:val="left" w:pos="1134"/>
          <w:tab w:val="left" w:pos="1276"/>
        </w:tabs>
        <w:ind w:left="0" w:firstLine="709"/>
        <w:contextualSpacing w:val="0"/>
        <w:jc w:val="both"/>
        <w:rPr>
          <w:lang w:val="en-GB"/>
        </w:rPr>
      </w:pPr>
      <w:r w:rsidRPr="00107B76">
        <w:rPr>
          <w:lang w:val="en-GB"/>
        </w:rPr>
        <w:t xml:space="preserve">The minimum amount of grant assistance applied for shall be Euro 200,000. </w:t>
      </w:r>
      <w:r w:rsidR="00753EE9" w:rsidRPr="00107B76">
        <w:rPr>
          <w:lang w:val="en-GB"/>
        </w:rPr>
        <w:t>The minimum amount of grant assistance under SGS1 applied for shall be Euro 10,000.</w:t>
      </w:r>
    </w:p>
    <w:p w14:paraId="5CB3F89A" w14:textId="20D78220" w:rsidR="008341AC" w:rsidRPr="00107B76" w:rsidRDefault="008341AC" w:rsidP="00AD73C5">
      <w:pPr>
        <w:pStyle w:val="ListParagraph"/>
        <w:numPr>
          <w:ilvl w:val="0"/>
          <w:numId w:val="3"/>
        </w:numPr>
        <w:tabs>
          <w:tab w:val="left" w:pos="993"/>
          <w:tab w:val="left" w:pos="1134"/>
          <w:tab w:val="left" w:pos="1276"/>
        </w:tabs>
        <w:ind w:left="0" w:firstLine="709"/>
        <w:contextualSpacing w:val="0"/>
        <w:jc w:val="both"/>
        <w:rPr>
          <w:lang w:val="en-GB"/>
        </w:rPr>
      </w:pPr>
      <w:r w:rsidRPr="00107B76">
        <w:rPr>
          <w:lang w:val="en-GB"/>
        </w:rPr>
        <w:t xml:space="preserve">Eligible expenditures of projects are those actually incurred by the Project Promoter or </w:t>
      </w:r>
      <w:r w:rsidR="000A00EC" w:rsidRPr="00107B76">
        <w:rPr>
          <w:lang w:val="en-GB"/>
        </w:rPr>
        <w:t>a</w:t>
      </w:r>
      <w:r w:rsidRPr="00107B76">
        <w:rPr>
          <w:lang w:val="en-GB"/>
        </w:rPr>
        <w:t xml:space="preserve"> Project Partner, which meet the following criteria:</w:t>
      </w:r>
    </w:p>
    <w:p w14:paraId="5015A0AC" w14:textId="2DFD162C" w:rsidR="0053749C" w:rsidRPr="00107B76" w:rsidRDefault="00B46522"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w:t>
      </w:r>
      <w:r w:rsidR="0053749C" w:rsidRPr="00107B76">
        <w:rPr>
          <w:lang w:val="en-GB"/>
        </w:rPr>
        <w:t xml:space="preserve">xpenditure shall be incurred between the first and final date </w:t>
      </w:r>
      <w:r w:rsidRPr="00107B76">
        <w:rPr>
          <w:lang w:val="en-GB"/>
        </w:rPr>
        <w:t>set for eligible expenditure</w:t>
      </w:r>
      <w:r w:rsidR="0053749C" w:rsidRPr="00107B76">
        <w:rPr>
          <w:lang w:val="en-GB"/>
        </w:rPr>
        <w:t xml:space="preserve"> of a project in </w:t>
      </w:r>
      <w:r w:rsidRPr="00107B76">
        <w:rPr>
          <w:lang w:val="en-GB"/>
        </w:rPr>
        <w:t>a</w:t>
      </w:r>
      <w:r w:rsidR="0053749C" w:rsidRPr="00107B76">
        <w:rPr>
          <w:lang w:val="en-GB"/>
        </w:rPr>
        <w:t xml:space="preserve"> </w:t>
      </w:r>
      <w:r w:rsidR="00DC098C" w:rsidRPr="00107B76">
        <w:rPr>
          <w:lang w:val="en-GB"/>
        </w:rPr>
        <w:t>projects contract</w:t>
      </w:r>
      <w:r w:rsidR="0053749C" w:rsidRPr="00107B76">
        <w:rPr>
          <w:lang w:val="en-GB"/>
        </w:rPr>
        <w:t xml:space="preserve">. Costs within projects may be eligible from the date on which the grant is awarded or at a later date set in </w:t>
      </w:r>
      <w:r w:rsidR="000A00EC" w:rsidRPr="00107B76">
        <w:rPr>
          <w:lang w:val="en-GB"/>
        </w:rPr>
        <w:t xml:space="preserve">a </w:t>
      </w:r>
      <w:r w:rsidR="00DC098C" w:rsidRPr="00107B76">
        <w:rPr>
          <w:lang w:val="en-GB"/>
        </w:rPr>
        <w:t>projects contract</w:t>
      </w:r>
      <w:r w:rsidR="0053749C" w:rsidRPr="00107B76">
        <w:rPr>
          <w:lang w:val="en-GB"/>
        </w:rPr>
        <w:t xml:space="preserve">. </w:t>
      </w:r>
      <w:r w:rsidR="00DC098C" w:rsidRPr="00107B76">
        <w:rPr>
          <w:lang w:val="en-GB"/>
        </w:rPr>
        <w:t>Projects contract</w:t>
      </w:r>
      <w:r w:rsidR="0053749C" w:rsidRPr="00107B76">
        <w:rPr>
          <w:lang w:val="en-GB"/>
        </w:rPr>
        <w:t xml:space="preserve"> shall set the final date of </w:t>
      </w:r>
      <w:r w:rsidR="00B93C2C" w:rsidRPr="00107B76">
        <w:rPr>
          <w:lang w:val="en-GB"/>
        </w:rPr>
        <w:t>eligible expenditure</w:t>
      </w:r>
      <w:r w:rsidR="0053749C" w:rsidRPr="00107B76">
        <w:rPr>
          <w:lang w:val="en-GB"/>
        </w:rPr>
        <w:t xml:space="preserve">, which shall </w:t>
      </w:r>
      <w:r w:rsidR="009861E7" w:rsidRPr="00107B76">
        <w:rPr>
          <w:lang w:val="en-GB"/>
        </w:rPr>
        <w:t>not be</w:t>
      </w:r>
      <w:r w:rsidR="0053749C" w:rsidRPr="00107B76">
        <w:rPr>
          <w:lang w:val="en-GB"/>
        </w:rPr>
        <w:t xml:space="preserve"> later than 30 April 2024</w:t>
      </w:r>
      <w:r w:rsidR="00F53D35" w:rsidRPr="00107B76">
        <w:rPr>
          <w:lang w:val="en-GB"/>
        </w:rPr>
        <w:t>;</w:t>
      </w:r>
    </w:p>
    <w:p w14:paraId="513F0B13" w14:textId="167CD514" w:rsidR="00255086" w:rsidRPr="00107B76" w:rsidRDefault="004A36B5"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w:t>
      </w:r>
      <w:r w:rsidR="00255086" w:rsidRPr="00107B76">
        <w:rPr>
          <w:lang w:val="en-GB"/>
        </w:rPr>
        <w:t>xpenditure shall be connected with the subject of the project contract and be indicated in the detailed budget of the project</w:t>
      </w:r>
      <w:r w:rsidRPr="00107B76">
        <w:rPr>
          <w:lang w:val="en-GB"/>
        </w:rPr>
        <w:t>;</w:t>
      </w:r>
    </w:p>
    <w:p w14:paraId="4C08FE40" w14:textId="0211403E" w:rsidR="00EE2C70" w:rsidRPr="00107B76" w:rsidRDefault="004A36B5"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lastRenderedPageBreak/>
        <w:t>e</w:t>
      </w:r>
      <w:r w:rsidR="00F717E2" w:rsidRPr="00107B76">
        <w:rPr>
          <w:lang w:val="en-GB"/>
        </w:rPr>
        <w:t>xpenditure shall be proportionate and necessary for the implementation of the project</w:t>
      </w:r>
      <w:r w:rsidRPr="00107B76">
        <w:rPr>
          <w:lang w:val="en-GB"/>
        </w:rPr>
        <w:t>;</w:t>
      </w:r>
    </w:p>
    <w:p w14:paraId="73E16226" w14:textId="4E9559B0" w:rsidR="002A01CE" w:rsidRPr="00107B76" w:rsidRDefault="004A36B5"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w:t>
      </w:r>
      <w:r w:rsidR="002A01CE" w:rsidRPr="00107B76">
        <w:rPr>
          <w:lang w:val="en-GB"/>
        </w:rPr>
        <w:t>xpenditure shall be used for the sole purpose of achieving the objective(s) of the project and its expected outcome(s), in a manner consistent with the principles of economy, efficiency and effectiveness</w:t>
      </w:r>
      <w:r w:rsidRPr="00107B76">
        <w:rPr>
          <w:lang w:val="en-GB"/>
        </w:rPr>
        <w:t>;</w:t>
      </w:r>
    </w:p>
    <w:p w14:paraId="3D6FF12D" w14:textId="2F7A1B5C" w:rsidR="007676BA" w:rsidRPr="00107B76" w:rsidRDefault="004A36B5"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e</w:t>
      </w:r>
      <w:r w:rsidR="008C3018" w:rsidRPr="00107B76">
        <w:rPr>
          <w:lang w:val="en-GB"/>
        </w:rPr>
        <w:t xml:space="preserve">xpenditure </w:t>
      </w:r>
      <w:r w:rsidR="00EC40C1" w:rsidRPr="00107B76">
        <w:rPr>
          <w:lang w:val="en-GB"/>
        </w:rPr>
        <w:t>shall</w:t>
      </w:r>
      <w:r w:rsidR="008C3018" w:rsidRPr="00107B76">
        <w:rPr>
          <w:lang w:val="en-GB"/>
        </w:rPr>
        <w:t xml:space="preserve"> be </w:t>
      </w:r>
      <w:r w:rsidR="00EC40C1" w:rsidRPr="00107B76">
        <w:rPr>
          <w:lang w:val="en-GB"/>
        </w:rPr>
        <w:t>incurred</w:t>
      </w:r>
      <w:r w:rsidR="00C36D98" w:rsidRPr="00107B76">
        <w:rPr>
          <w:lang w:val="en-GB"/>
        </w:rPr>
        <w:t xml:space="preserve"> and </w:t>
      </w:r>
      <w:r w:rsidR="007801C3" w:rsidRPr="00107B76">
        <w:rPr>
          <w:lang w:val="en-GB"/>
        </w:rPr>
        <w:t>reimbursed</w:t>
      </w:r>
      <w:r w:rsidR="004C56BD" w:rsidRPr="00107B76">
        <w:rPr>
          <w:lang w:val="en-GB"/>
        </w:rPr>
        <w:t xml:space="preserve"> </w:t>
      </w:r>
      <w:r w:rsidR="00824FA8" w:rsidRPr="00107B76">
        <w:rPr>
          <w:lang w:val="en-GB"/>
        </w:rPr>
        <w:t xml:space="preserve">without prejudice </w:t>
      </w:r>
      <w:r w:rsidR="00B3580E" w:rsidRPr="00107B76">
        <w:rPr>
          <w:lang w:val="en-GB"/>
        </w:rPr>
        <w:t xml:space="preserve">to the Regulation, </w:t>
      </w:r>
      <w:r w:rsidR="001A788E" w:rsidRPr="00107B76">
        <w:rPr>
          <w:lang w:val="en-GB"/>
        </w:rPr>
        <w:t xml:space="preserve">international agreements between </w:t>
      </w:r>
      <w:r w:rsidR="009317E5" w:rsidRPr="00107B76">
        <w:rPr>
          <w:lang w:val="en-GB"/>
        </w:rPr>
        <w:t xml:space="preserve">the </w:t>
      </w:r>
      <w:r w:rsidR="001A788E" w:rsidRPr="00107B76">
        <w:rPr>
          <w:lang w:val="en-GB"/>
        </w:rPr>
        <w:t>EU and the Republic of Lithuania</w:t>
      </w:r>
      <w:r w:rsidR="009317E5" w:rsidRPr="00107B76">
        <w:rPr>
          <w:lang w:val="en-GB"/>
        </w:rPr>
        <w:t xml:space="preserve">, </w:t>
      </w:r>
      <w:r w:rsidR="008D6E01" w:rsidRPr="00107B76">
        <w:rPr>
          <w:lang w:val="en-GB"/>
        </w:rPr>
        <w:t>the Republic of Lithuania and other countries</w:t>
      </w:r>
      <w:r w:rsidR="009E6F9A" w:rsidRPr="00107B76">
        <w:rPr>
          <w:lang w:val="en-GB"/>
        </w:rPr>
        <w:t xml:space="preserve"> in which project expenditure is incurred</w:t>
      </w:r>
      <w:r w:rsidR="0003531D" w:rsidRPr="00107B76">
        <w:rPr>
          <w:lang w:val="en-GB"/>
        </w:rPr>
        <w:t xml:space="preserve">, </w:t>
      </w:r>
      <w:r w:rsidR="00A467DC" w:rsidRPr="00107B76">
        <w:rPr>
          <w:lang w:val="en-GB"/>
        </w:rPr>
        <w:t xml:space="preserve">legislation on </w:t>
      </w:r>
      <w:r w:rsidR="00B5470C" w:rsidRPr="00107B76">
        <w:rPr>
          <w:lang w:val="en-GB"/>
        </w:rPr>
        <w:t xml:space="preserve">expenditure and reimbursement of </w:t>
      </w:r>
      <w:r w:rsidR="00B33CA9" w:rsidRPr="00107B76">
        <w:rPr>
          <w:lang w:val="en-GB"/>
        </w:rPr>
        <w:t xml:space="preserve">expenditure, generally </w:t>
      </w:r>
      <w:r w:rsidR="00835623" w:rsidRPr="00107B76">
        <w:rPr>
          <w:lang w:val="en-GB"/>
        </w:rPr>
        <w:t>recognized</w:t>
      </w:r>
      <w:r w:rsidR="008E5F4F" w:rsidRPr="00107B76">
        <w:rPr>
          <w:lang w:val="en-GB"/>
        </w:rPr>
        <w:t xml:space="preserve"> accounting principle</w:t>
      </w:r>
      <w:r w:rsidR="00893AD1" w:rsidRPr="00107B76">
        <w:rPr>
          <w:lang w:val="en-GB"/>
        </w:rPr>
        <w:t>s;</w:t>
      </w:r>
    </w:p>
    <w:p w14:paraId="41A0F05A" w14:textId="77777777" w:rsidR="00BD57F0" w:rsidRPr="00107B76" w:rsidRDefault="00A47C0D" w:rsidP="00BD57F0">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i</w:t>
      </w:r>
      <w:r w:rsidR="004338EA" w:rsidRPr="00107B76">
        <w:rPr>
          <w:lang w:val="en-GB"/>
        </w:rPr>
        <w:t xml:space="preserve">ndirect costs and </w:t>
      </w:r>
      <w:r w:rsidR="00F72166" w:rsidRPr="00107B76">
        <w:rPr>
          <w:lang w:val="en-GB"/>
        </w:rPr>
        <w:t xml:space="preserve">depreciation of the equipment are </w:t>
      </w:r>
      <w:r w:rsidR="008B5F64" w:rsidRPr="00107B76">
        <w:rPr>
          <w:lang w:val="en-GB"/>
        </w:rPr>
        <w:t xml:space="preserve">considered to have been </w:t>
      </w:r>
      <w:r w:rsidR="002C0994" w:rsidRPr="00107B76">
        <w:rPr>
          <w:lang w:val="en-GB"/>
        </w:rPr>
        <w:t>incurred when</w:t>
      </w:r>
      <w:r w:rsidR="008B5F64" w:rsidRPr="00107B76">
        <w:rPr>
          <w:lang w:val="en-GB"/>
        </w:rPr>
        <w:t xml:space="preserve"> they are </w:t>
      </w:r>
      <w:r w:rsidR="00FB49EE" w:rsidRPr="00107B76">
        <w:rPr>
          <w:lang w:val="en-GB"/>
        </w:rPr>
        <w:t xml:space="preserve">recorded in the </w:t>
      </w:r>
      <w:r w:rsidR="003E2D3A" w:rsidRPr="00107B76">
        <w:rPr>
          <w:lang w:val="en-GB"/>
        </w:rPr>
        <w:t xml:space="preserve">accounting records of a </w:t>
      </w:r>
      <w:r w:rsidR="00656FBD" w:rsidRPr="00107B76">
        <w:rPr>
          <w:lang w:val="en-GB"/>
        </w:rPr>
        <w:t>Project Promoter or partner</w:t>
      </w:r>
      <w:r w:rsidR="007D2BD0" w:rsidRPr="00107B76">
        <w:rPr>
          <w:lang w:val="en-GB"/>
        </w:rPr>
        <w:t>;</w:t>
      </w:r>
    </w:p>
    <w:p w14:paraId="575A9D07" w14:textId="3C4AF78F" w:rsidR="00BD57F0" w:rsidRPr="00107B76" w:rsidRDefault="00E207AA" w:rsidP="00BD57F0">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rFonts w:eastAsiaTheme="minorEastAsia"/>
          <w:color w:val="000000"/>
          <w:lang w:val="en-GB" w:eastAsia="en-US"/>
        </w:rPr>
        <w:t xml:space="preserve">expenditure </w:t>
      </w:r>
      <w:r w:rsidR="00BD57F0" w:rsidRPr="00107B76">
        <w:rPr>
          <w:rFonts w:eastAsiaTheme="minorEastAsia"/>
          <w:color w:val="000000"/>
          <w:lang w:val="en-GB" w:eastAsia="en-US"/>
        </w:rPr>
        <w:t>shall</w:t>
      </w:r>
      <w:r w:rsidR="00BD57F0" w:rsidRPr="00107B76">
        <w:rPr>
          <w:rFonts w:eastAsiaTheme="minorEastAsia"/>
          <w:color w:val="000000"/>
          <w:sz w:val="22"/>
          <w:szCs w:val="22"/>
          <w:lang w:val="en-GB" w:eastAsia="en-US"/>
        </w:rPr>
        <w:t xml:space="preserve"> </w:t>
      </w:r>
      <w:r w:rsidR="00BD57F0" w:rsidRPr="00107B76">
        <w:rPr>
          <w:lang w:val="en-GB"/>
        </w:rPr>
        <w:t>comply with the requirements of applicable tax and social legislation;</w:t>
      </w:r>
    </w:p>
    <w:p w14:paraId="4F451FEF" w14:textId="17AEA1DA" w:rsidR="009276E8" w:rsidRPr="00107B76" w:rsidRDefault="00477D9F"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project expenditure</w:t>
      </w:r>
      <w:r w:rsidR="009276E8" w:rsidRPr="00107B76">
        <w:rPr>
          <w:lang w:val="en-GB"/>
        </w:rPr>
        <w:t xml:space="preserve"> </w:t>
      </w:r>
      <w:proofErr w:type="gramStart"/>
      <w:r w:rsidR="009276E8" w:rsidRPr="00107B76">
        <w:rPr>
          <w:lang w:val="en-GB"/>
        </w:rPr>
        <w:t>have</w:t>
      </w:r>
      <w:proofErr w:type="gramEnd"/>
      <w:r w:rsidR="009276E8" w:rsidRPr="00107B76">
        <w:rPr>
          <w:lang w:val="en-GB"/>
        </w:rPr>
        <w:t xml:space="preserve"> to be identifiable and verifiable, in particular through being recorded in the accounting records of the Project Promoter and/or project partner;</w:t>
      </w:r>
    </w:p>
    <w:p w14:paraId="7303FE12" w14:textId="7705D52F" w:rsidR="00835623" w:rsidRPr="00107B76" w:rsidRDefault="00477D9F" w:rsidP="00AD73C5">
      <w:pPr>
        <w:pStyle w:val="ListParagraph"/>
        <w:numPr>
          <w:ilvl w:val="1"/>
          <w:numId w:val="3"/>
        </w:numPr>
        <w:tabs>
          <w:tab w:val="left" w:pos="142"/>
          <w:tab w:val="left" w:pos="426"/>
          <w:tab w:val="left" w:pos="993"/>
          <w:tab w:val="left" w:pos="1134"/>
        </w:tabs>
        <w:autoSpaceDE w:val="0"/>
        <w:autoSpaceDN w:val="0"/>
        <w:adjustRightInd w:val="0"/>
        <w:ind w:left="0" w:firstLine="709"/>
        <w:contextualSpacing w:val="0"/>
        <w:jc w:val="both"/>
        <w:rPr>
          <w:lang w:val="en-GB"/>
        </w:rPr>
      </w:pPr>
      <w:r w:rsidRPr="00107B76">
        <w:rPr>
          <w:lang w:val="en-GB"/>
        </w:rPr>
        <w:t xml:space="preserve"> </w:t>
      </w:r>
      <w:r w:rsidR="002C762D" w:rsidRPr="00107B76">
        <w:rPr>
          <w:lang w:val="en-GB"/>
        </w:rPr>
        <w:t>reimbursement</w:t>
      </w:r>
      <w:r w:rsidR="00BA5D24" w:rsidRPr="00107B76">
        <w:rPr>
          <w:lang w:val="en-GB"/>
        </w:rPr>
        <w:t xml:space="preserve"> supporting documents</w:t>
      </w:r>
      <w:r w:rsidR="002C762D" w:rsidRPr="00107B76">
        <w:rPr>
          <w:lang w:val="en-GB"/>
        </w:rPr>
        <w:t xml:space="preserve"> have </w:t>
      </w:r>
      <w:r w:rsidR="004B46F0" w:rsidRPr="00107B76">
        <w:rPr>
          <w:lang w:val="en-GB"/>
        </w:rPr>
        <w:t xml:space="preserve">to be </w:t>
      </w:r>
      <w:r w:rsidR="00B12103" w:rsidRPr="00107B76">
        <w:rPr>
          <w:lang w:val="en-GB"/>
        </w:rPr>
        <w:t>identifiable</w:t>
      </w:r>
      <w:r w:rsidR="00FA6F47" w:rsidRPr="00107B76">
        <w:rPr>
          <w:lang w:val="en-GB"/>
        </w:rPr>
        <w:t xml:space="preserve"> and verifiable</w:t>
      </w:r>
      <w:r w:rsidR="009276E8" w:rsidRPr="00107B76">
        <w:rPr>
          <w:lang w:val="en-GB"/>
        </w:rPr>
        <w:t xml:space="preserve"> b</w:t>
      </w:r>
      <w:r w:rsidR="00BF21CE" w:rsidRPr="00107B76">
        <w:rPr>
          <w:lang w:val="en-GB"/>
        </w:rPr>
        <w:t>y</w:t>
      </w:r>
      <w:r w:rsidR="00DA0681" w:rsidRPr="00107B76">
        <w:rPr>
          <w:lang w:val="en-GB"/>
        </w:rPr>
        <w:t xml:space="preserve"> relevant </w:t>
      </w:r>
      <w:r w:rsidR="001E2C86" w:rsidRPr="00107B76">
        <w:rPr>
          <w:lang w:val="en-GB"/>
        </w:rPr>
        <w:t>accounting documents</w:t>
      </w:r>
      <w:r w:rsidR="00153B75" w:rsidRPr="00107B76">
        <w:rPr>
          <w:lang w:val="en-GB"/>
        </w:rPr>
        <w:t>, which are in line with</w:t>
      </w:r>
      <w:r w:rsidR="00D072CF" w:rsidRPr="00107B76">
        <w:rPr>
          <w:lang w:val="en-GB"/>
        </w:rPr>
        <w:t xml:space="preserve"> the requirements set in </w:t>
      </w:r>
      <w:r w:rsidR="00835623" w:rsidRPr="00107B76">
        <w:rPr>
          <w:lang w:val="en-GB"/>
        </w:rPr>
        <w:t xml:space="preserve">the </w:t>
      </w:r>
      <w:r w:rsidR="00D072CF" w:rsidRPr="00107B76">
        <w:rPr>
          <w:lang w:val="en-GB"/>
        </w:rPr>
        <w:t xml:space="preserve">legislation </w:t>
      </w:r>
      <w:r w:rsidR="00037335" w:rsidRPr="00107B76">
        <w:rPr>
          <w:lang w:val="en-GB"/>
        </w:rPr>
        <w:t xml:space="preserve">on accounting </w:t>
      </w:r>
      <w:r w:rsidR="00C73DE4" w:rsidRPr="00107B76">
        <w:rPr>
          <w:lang w:val="en-GB"/>
        </w:rPr>
        <w:t xml:space="preserve">or </w:t>
      </w:r>
      <w:r w:rsidR="003C190A" w:rsidRPr="00107B76">
        <w:rPr>
          <w:lang w:val="en-GB"/>
        </w:rPr>
        <w:t xml:space="preserve">equivalent </w:t>
      </w:r>
      <w:r w:rsidR="00427DDE" w:rsidRPr="00107B76">
        <w:rPr>
          <w:lang w:val="en-GB"/>
        </w:rPr>
        <w:t xml:space="preserve">supporting documents and </w:t>
      </w:r>
      <w:r w:rsidR="00835623" w:rsidRPr="00107B76">
        <w:rPr>
          <w:lang w:val="en-GB"/>
        </w:rPr>
        <w:t xml:space="preserve">traceability has to be ensured. </w:t>
      </w:r>
    </w:p>
    <w:p w14:paraId="520D3461" w14:textId="3EF9BD78" w:rsidR="00D55ED4" w:rsidRPr="00107B76" w:rsidRDefault="00F611E4" w:rsidP="00AD73C5">
      <w:pPr>
        <w:pStyle w:val="ListParagraph"/>
        <w:numPr>
          <w:ilvl w:val="0"/>
          <w:numId w:val="3"/>
        </w:numPr>
        <w:tabs>
          <w:tab w:val="left" w:pos="993"/>
          <w:tab w:val="left" w:pos="1134"/>
          <w:tab w:val="left" w:pos="1276"/>
        </w:tabs>
        <w:ind w:left="0" w:firstLine="709"/>
        <w:contextualSpacing w:val="0"/>
        <w:jc w:val="both"/>
        <w:rPr>
          <w:color w:val="000000"/>
          <w:lang w:val="en-GB"/>
        </w:rPr>
      </w:pPr>
      <w:r w:rsidRPr="00107B76">
        <w:rPr>
          <w:color w:val="000000"/>
          <w:lang w:val="en-GB"/>
        </w:rPr>
        <w:t>Under th</w:t>
      </w:r>
      <w:r w:rsidR="00F15F73" w:rsidRPr="00107B76">
        <w:rPr>
          <w:color w:val="000000"/>
          <w:lang w:val="en-GB"/>
        </w:rPr>
        <w:t>e Call, funding is granted as</w:t>
      </w:r>
      <w:r w:rsidR="004704E2" w:rsidRPr="00107B76">
        <w:rPr>
          <w:color w:val="000000"/>
          <w:lang w:val="en-GB"/>
        </w:rPr>
        <w:t xml:space="preserve"> State aid </w:t>
      </w:r>
      <w:r w:rsidR="00B667E6" w:rsidRPr="00107B76">
        <w:rPr>
          <w:color w:val="000000"/>
          <w:lang w:val="en-GB"/>
        </w:rPr>
        <w:t xml:space="preserve">and </w:t>
      </w:r>
      <w:r w:rsidR="00F15F73" w:rsidRPr="00107B76">
        <w:rPr>
          <w:color w:val="000000"/>
          <w:lang w:val="en-GB"/>
        </w:rPr>
        <w:t>shall</w:t>
      </w:r>
      <w:r w:rsidR="00B667E6" w:rsidRPr="00107B76">
        <w:rPr>
          <w:color w:val="000000"/>
          <w:lang w:val="en-GB"/>
        </w:rPr>
        <w:t xml:space="preserve"> comply with all the c</w:t>
      </w:r>
      <w:r w:rsidR="007206EC" w:rsidRPr="00107B76">
        <w:rPr>
          <w:color w:val="000000"/>
          <w:lang w:val="en-GB"/>
        </w:rPr>
        <w:t xml:space="preserve">onditions stipulated in </w:t>
      </w:r>
      <w:r w:rsidR="00627B38" w:rsidRPr="00107B76">
        <w:rPr>
          <w:color w:val="000000"/>
          <w:lang w:val="en-GB"/>
        </w:rPr>
        <w:t xml:space="preserve">Chapter 1 of </w:t>
      </w:r>
      <w:r w:rsidR="001C6A7D" w:rsidRPr="00107B76">
        <w:rPr>
          <w:color w:val="000000"/>
          <w:lang w:val="en-GB"/>
        </w:rPr>
        <w:t>State</w:t>
      </w:r>
      <w:r w:rsidR="008459B2" w:rsidRPr="00107B76">
        <w:rPr>
          <w:color w:val="000000"/>
          <w:lang w:val="en-GB"/>
        </w:rPr>
        <w:t xml:space="preserve"> Aid R</w:t>
      </w:r>
      <w:r w:rsidR="00627B38" w:rsidRPr="00107B76">
        <w:rPr>
          <w:color w:val="000000"/>
          <w:lang w:val="en-GB"/>
        </w:rPr>
        <w:t>e</w:t>
      </w:r>
      <w:r w:rsidR="008459B2" w:rsidRPr="00107B76">
        <w:rPr>
          <w:color w:val="000000"/>
          <w:lang w:val="en-GB"/>
        </w:rPr>
        <w:t>gulation</w:t>
      </w:r>
      <w:r w:rsidR="00F3270B" w:rsidRPr="00107B76">
        <w:rPr>
          <w:color w:val="000000"/>
          <w:lang w:val="en-GB"/>
        </w:rPr>
        <w:t xml:space="preserve">, </w:t>
      </w:r>
      <w:r w:rsidR="00A54664" w:rsidRPr="00107B76">
        <w:rPr>
          <w:color w:val="000000"/>
          <w:lang w:val="en-GB"/>
        </w:rPr>
        <w:t>relevant</w:t>
      </w:r>
      <w:r w:rsidR="00F3270B" w:rsidRPr="00107B76">
        <w:rPr>
          <w:color w:val="000000"/>
          <w:lang w:val="en-GB"/>
        </w:rPr>
        <w:t xml:space="preserve"> </w:t>
      </w:r>
      <w:r w:rsidR="00C74EF7" w:rsidRPr="00107B76">
        <w:rPr>
          <w:color w:val="000000"/>
          <w:lang w:val="en-GB"/>
        </w:rPr>
        <w:t xml:space="preserve">conditions </w:t>
      </w:r>
      <w:r w:rsidR="00613A8E" w:rsidRPr="00107B76">
        <w:rPr>
          <w:color w:val="000000"/>
          <w:lang w:val="en-GB"/>
        </w:rPr>
        <w:t xml:space="preserve">presented in </w:t>
      </w:r>
      <w:r w:rsidR="00166D08" w:rsidRPr="00107B76">
        <w:rPr>
          <w:color w:val="000000"/>
          <w:lang w:val="en-GB"/>
        </w:rPr>
        <w:t>Articles</w:t>
      </w:r>
      <w:r w:rsidR="00BB064B" w:rsidRPr="00107B76">
        <w:rPr>
          <w:color w:val="000000"/>
          <w:lang w:val="en-GB"/>
        </w:rPr>
        <w:t xml:space="preserve"> 13, 14, 18 and 25 of State Aid Regulation</w:t>
      </w:r>
      <w:r w:rsidR="00881A9B" w:rsidRPr="00107B76">
        <w:rPr>
          <w:color w:val="000000"/>
          <w:lang w:val="en-GB"/>
        </w:rPr>
        <w:t xml:space="preserve">, </w:t>
      </w:r>
      <w:r w:rsidR="00F543CD" w:rsidRPr="00107B76">
        <w:rPr>
          <w:i/>
          <w:iCs/>
          <w:color w:val="000000"/>
          <w:lang w:val="en-GB"/>
        </w:rPr>
        <w:t>De minimis</w:t>
      </w:r>
      <w:r w:rsidR="00F543CD" w:rsidRPr="00107B76">
        <w:rPr>
          <w:lang w:val="en-GB"/>
        </w:rPr>
        <w:t xml:space="preserve"> </w:t>
      </w:r>
      <w:r w:rsidR="00E07663" w:rsidRPr="00107B76">
        <w:rPr>
          <w:lang w:val="en-GB"/>
        </w:rPr>
        <w:t>R</w:t>
      </w:r>
      <w:r w:rsidR="00F543CD" w:rsidRPr="00107B76">
        <w:rPr>
          <w:lang w:val="en-GB"/>
        </w:rPr>
        <w:t>egulation</w:t>
      </w:r>
      <w:r w:rsidR="00ED1B81" w:rsidRPr="00107B76">
        <w:rPr>
          <w:lang w:val="en-GB"/>
        </w:rPr>
        <w:t xml:space="preserve"> and requirement</w:t>
      </w:r>
      <w:r w:rsidR="00E07663" w:rsidRPr="00107B76">
        <w:rPr>
          <w:lang w:val="en-GB"/>
        </w:rPr>
        <w:t>s</w:t>
      </w:r>
      <w:r w:rsidR="00ED1B81" w:rsidRPr="00107B76">
        <w:rPr>
          <w:lang w:val="en-GB"/>
        </w:rPr>
        <w:t xml:space="preserve"> </w:t>
      </w:r>
      <w:r w:rsidR="00563C96" w:rsidRPr="00107B76">
        <w:rPr>
          <w:lang w:val="en-GB"/>
        </w:rPr>
        <w:t xml:space="preserve">set for eligible expenses in this Call. </w:t>
      </w:r>
    </w:p>
    <w:p w14:paraId="395C1802" w14:textId="49257A04" w:rsidR="00005570" w:rsidRPr="00107B76" w:rsidRDefault="00D132D8" w:rsidP="00AD73C5">
      <w:pPr>
        <w:pStyle w:val="ListParagraph"/>
        <w:numPr>
          <w:ilvl w:val="0"/>
          <w:numId w:val="3"/>
        </w:numPr>
        <w:tabs>
          <w:tab w:val="left" w:pos="993"/>
          <w:tab w:val="left" w:pos="1134"/>
          <w:tab w:val="left" w:pos="1276"/>
        </w:tabs>
        <w:ind w:left="0" w:firstLine="709"/>
        <w:contextualSpacing w:val="0"/>
        <w:jc w:val="both"/>
        <w:rPr>
          <w:rStyle w:val="apple-converted-space"/>
          <w:color w:val="000000"/>
          <w:lang w:val="en-GB"/>
        </w:rPr>
      </w:pPr>
      <w:bookmarkStart w:id="2" w:name="part_a50e941b00d941c680a16e558277f221"/>
      <w:bookmarkEnd w:id="2"/>
      <w:r w:rsidRPr="00107B76">
        <w:rPr>
          <w:rStyle w:val="apple-converted-space"/>
          <w:color w:val="000000"/>
          <w:lang w:val="en-GB"/>
        </w:rPr>
        <w:t>S</w:t>
      </w:r>
      <w:r w:rsidR="00DD70FB" w:rsidRPr="00107B76">
        <w:rPr>
          <w:rStyle w:val="apple-converted-space"/>
          <w:color w:val="000000"/>
          <w:lang w:val="en-GB"/>
        </w:rPr>
        <w:t>t</w:t>
      </w:r>
      <w:r w:rsidRPr="00107B76">
        <w:rPr>
          <w:rStyle w:val="apple-converted-space"/>
          <w:color w:val="000000"/>
          <w:lang w:val="en-GB"/>
        </w:rPr>
        <w:t xml:space="preserve">ate aid exempted under </w:t>
      </w:r>
      <w:r w:rsidR="00A00C28" w:rsidRPr="00107B76">
        <w:rPr>
          <w:rStyle w:val="apple-converted-space"/>
          <w:color w:val="000000"/>
          <w:lang w:val="en-GB"/>
        </w:rPr>
        <w:t>State Aid Regulation</w:t>
      </w:r>
      <w:r w:rsidR="00B22E7B" w:rsidRPr="00107B76">
        <w:rPr>
          <w:rStyle w:val="apple-converted-space"/>
          <w:color w:val="000000"/>
          <w:lang w:val="en-GB"/>
        </w:rPr>
        <w:t>,</w:t>
      </w:r>
      <w:r w:rsidR="00DD70FB" w:rsidRPr="00107B76">
        <w:rPr>
          <w:rStyle w:val="apple-converted-space"/>
          <w:color w:val="000000"/>
          <w:lang w:val="en-GB"/>
        </w:rPr>
        <w:t xml:space="preserve"> as specified </w:t>
      </w:r>
      <w:r w:rsidR="00835623" w:rsidRPr="00107B76">
        <w:rPr>
          <w:rStyle w:val="apple-converted-space"/>
          <w:color w:val="000000"/>
          <w:lang w:val="en-GB"/>
        </w:rPr>
        <w:t>in</w:t>
      </w:r>
      <w:r w:rsidR="00DD70FB" w:rsidRPr="00107B76">
        <w:rPr>
          <w:rStyle w:val="apple-converted-space"/>
          <w:color w:val="000000"/>
          <w:lang w:val="en-GB"/>
        </w:rPr>
        <w:t xml:space="preserve"> </w:t>
      </w:r>
      <w:r w:rsidR="00F65A84" w:rsidRPr="00107B76">
        <w:rPr>
          <w:rStyle w:val="apple-converted-space"/>
          <w:color w:val="000000"/>
          <w:lang w:val="en-GB"/>
        </w:rPr>
        <w:t>P</w:t>
      </w:r>
      <w:r w:rsidR="00607671" w:rsidRPr="00107B76">
        <w:rPr>
          <w:rStyle w:val="apple-converted-space"/>
          <w:color w:val="000000"/>
          <w:lang w:val="en-GB"/>
        </w:rPr>
        <w:t xml:space="preserve">aragraph 5 </w:t>
      </w:r>
      <w:r w:rsidR="00F65A84" w:rsidRPr="00107B76">
        <w:rPr>
          <w:rStyle w:val="apple-converted-space"/>
          <w:color w:val="000000"/>
          <w:lang w:val="en-GB"/>
        </w:rPr>
        <w:t xml:space="preserve">of Article 8 </w:t>
      </w:r>
      <w:r w:rsidR="00607671" w:rsidRPr="00107B76">
        <w:rPr>
          <w:rStyle w:val="apple-converted-space"/>
          <w:color w:val="000000"/>
          <w:lang w:val="en-GB"/>
        </w:rPr>
        <w:t>of the State Aid Regulation</w:t>
      </w:r>
      <w:r w:rsidR="00DD70FB" w:rsidRPr="00107B76">
        <w:rPr>
          <w:rStyle w:val="apple-converted-space"/>
          <w:color w:val="000000"/>
          <w:lang w:val="en-GB"/>
        </w:rPr>
        <w:t>,</w:t>
      </w:r>
      <w:r w:rsidR="00B22E7B" w:rsidRPr="00107B76">
        <w:rPr>
          <w:rStyle w:val="apple-converted-space"/>
          <w:color w:val="000000"/>
          <w:lang w:val="en-GB"/>
        </w:rPr>
        <w:t xml:space="preserve"> </w:t>
      </w:r>
      <w:r w:rsidRPr="00107B76">
        <w:rPr>
          <w:rStyle w:val="apple-converted-space"/>
          <w:color w:val="000000"/>
          <w:lang w:val="en-GB"/>
        </w:rPr>
        <w:t xml:space="preserve">shall not be cumulated with any </w:t>
      </w:r>
      <w:r w:rsidRPr="00107B76">
        <w:rPr>
          <w:rStyle w:val="apple-converted-space"/>
          <w:i/>
          <w:iCs/>
          <w:color w:val="000000"/>
          <w:lang w:val="en-GB"/>
        </w:rPr>
        <w:t>de minimis</w:t>
      </w:r>
      <w:r w:rsidRPr="00107B76">
        <w:rPr>
          <w:rStyle w:val="apple-converted-space"/>
          <w:color w:val="000000"/>
          <w:lang w:val="en-GB"/>
        </w:rPr>
        <w:t xml:space="preserve"> aid in respect of the same eligible costs if such cumulation would result in aid intensity exceeding the highest aid intensity</w:t>
      </w:r>
      <w:r w:rsidR="0001035A" w:rsidRPr="00107B76">
        <w:rPr>
          <w:rStyle w:val="apple-converted-space"/>
          <w:color w:val="000000"/>
          <w:lang w:val="en-GB"/>
        </w:rPr>
        <w:t xml:space="preserve"> </w:t>
      </w:r>
      <w:r w:rsidR="00FA77F9" w:rsidRPr="00107B76">
        <w:rPr>
          <w:rStyle w:val="apple-converted-space"/>
          <w:color w:val="000000"/>
          <w:lang w:val="en-GB"/>
        </w:rPr>
        <w:t>set in</w:t>
      </w:r>
      <w:r w:rsidR="001B5875" w:rsidRPr="00107B76">
        <w:rPr>
          <w:rStyle w:val="apple-converted-space"/>
          <w:color w:val="000000"/>
          <w:lang w:val="en-GB"/>
        </w:rPr>
        <w:t xml:space="preserve"> </w:t>
      </w:r>
      <w:r w:rsidR="00D65B51" w:rsidRPr="00107B76">
        <w:rPr>
          <w:rStyle w:val="apple-converted-space"/>
          <w:color w:val="000000"/>
          <w:lang w:val="en-GB"/>
        </w:rPr>
        <w:t xml:space="preserve">the Decree </w:t>
      </w:r>
      <w:r w:rsidR="00D35EDC" w:rsidRPr="00107B76">
        <w:rPr>
          <w:lang w:val="en-GB"/>
        </w:rPr>
        <w:t>‘</w:t>
      </w:r>
      <w:r w:rsidR="00BD5B69" w:rsidRPr="00107B76">
        <w:rPr>
          <w:lang w:val="en-GB"/>
        </w:rPr>
        <w:t>Aid Map of the Republic of Lithuania for 2014−2020</w:t>
      </w:r>
      <w:r w:rsidR="008D2B55" w:rsidRPr="00107B76">
        <w:rPr>
          <w:lang w:val="en-GB"/>
        </w:rPr>
        <w:t>’</w:t>
      </w:r>
      <w:r w:rsidR="00DC68E1" w:rsidRPr="00107B76">
        <w:rPr>
          <w:lang w:val="en-GB"/>
        </w:rPr>
        <w:t xml:space="preserve"> No. 571 of 25 June</w:t>
      </w:r>
      <w:r w:rsidR="00175D91" w:rsidRPr="00107B76">
        <w:rPr>
          <w:lang w:val="en-GB"/>
        </w:rPr>
        <w:t xml:space="preserve"> 2014</w:t>
      </w:r>
      <w:r w:rsidR="00990D04" w:rsidRPr="00107B76">
        <w:rPr>
          <w:lang w:val="en-GB"/>
        </w:rPr>
        <w:t>,</w:t>
      </w:r>
      <w:r w:rsidR="00175D91" w:rsidRPr="00107B76">
        <w:rPr>
          <w:lang w:val="en-GB"/>
        </w:rPr>
        <w:t xml:space="preserve"> </w:t>
      </w:r>
      <w:r w:rsidR="006E75A0" w:rsidRPr="00107B76">
        <w:rPr>
          <w:lang w:val="en-GB"/>
        </w:rPr>
        <w:t>iss</w:t>
      </w:r>
      <w:r w:rsidR="00990D04" w:rsidRPr="00107B76">
        <w:rPr>
          <w:lang w:val="en-GB"/>
        </w:rPr>
        <w:t xml:space="preserve">ued </w:t>
      </w:r>
      <w:r w:rsidR="00175D91" w:rsidRPr="00107B76">
        <w:rPr>
          <w:lang w:val="en-GB"/>
        </w:rPr>
        <w:t>by the Government of the Republic of Lithuania</w:t>
      </w:r>
      <w:r w:rsidR="00935C31" w:rsidRPr="00107B76">
        <w:rPr>
          <w:lang w:val="en-GB"/>
        </w:rPr>
        <w:t xml:space="preserve"> (if the </w:t>
      </w:r>
      <w:r w:rsidR="001D03AF" w:rsidRPr="00107B76">
        <w:rPr>
          <w:lang w:val="en-GB"/>
        </w:rPr>
        <w:t>aid</w:t>
      </w:r>
      <w:r w:rsidR="00935C31" w:rsidRPr="00107B76">
        <w:rPr>
          <w:lang w:val="en-GB"/>
        </w:rPr>
        <w:t xml:space="preserve"> is granted </w:t>
      </w:r>
      <w:r w:rsidR="001D03AF" w:rsidRPr="00107B76">
        <w:rPr>
          <w:lang w:val="en-GB"/>
        </w:rPr>
        <w:t>in line with</w:t>
      </w:r>
      <w:r w:rsidR="00AE56D6" w:rsidRPr="00107B76">
        <w:rPr>
          <w:lang w:val="en-GB"/>
        </w:rPr>
        <w:t xml:space="preserve"> </w:t>
      </w:r>
      <w:r w:rsidR="002C5A04" w:rsidRPr="00107B76">
        <w:rPr>
          <w:lang w:val="en-GB"/>
        </w:rPr>
        <w:t>Article</w:t>
      </w:r>
      <w:r w:rsidR="00AE56D6" w:rsidRPr="00107B76">
        <w:rPr>
          <w:lang w:val="en-GB"/>
        </w:rPr>
        <w:t xml:space="preserve"> 14 of </w:t>
      </w:r>
      <w:r w:rsidR="00DD70FB" w:rsidRPr="00107B76">
        <w:rPr>
          <w:lang w:val="en-GB"/>
        </w:rPr>
        <w:t>State</w:t>
      </w:r>
      <w:r w:rsidR="00AE56D6" w:rsidRPr="00107B76">
        <w:rPr>
          <w:lang w:val="en-GB"/>
        </w:rPr>
        <w:t xml:space="preserve"> Aid Regulation</w:t>
      </w:r>
      <w:r w:rsidR="00A212A8" w:rsidRPr="00107B76">
        <w:rPr>
          <w:lang w:val="en-GB"/>
        </w:rPr>
        <w:t xml:space="preserve">) or </w:t>
      </w:r>
      <w:r w:rsidR="009234FB" w:rsidRPr="00107B76">
        <w:rPr>
          <w:lang w:val="en-GB"/>
        </w:rPr>
        <w:t>Article</w:t>
      </w:r>
      <w:r w:rsidR="007347F7" w:rsidRPr="00107B76">
        <w:rPr>
          <w:lang w:val="en-GB"/>
        </w:rPr>
        <w:t xml:space="preserve"> 25 of </w:t>
      </w:r>
      <w:r w:rsidR="001530B7" w:rsidRPr="00107B76">
        <w:rPr>
          <w:lang w:val="en-GB"/>
        </w:rPr>
        <w:t>Sta</w:t>
      </w:r>
      <w:r w:rsidR="00040125" w:rsidRPr="00107B76">
        <w:rPr>
          <w:lang w:val="en-GB"/>
        </w:rPr>
        <w:t>t</w:t>
      </w:r>
      <w:r w:rsidR="001530B7" w:rsidRPr="00107B76">
        <w:rPr>
          <w:lang w:val="en-GB"/>
        </w:rPr>
        <w:t>e Aid Regulation</w:t>
      </w:r>
      <w:r w:rsidR="00E274CB" w:rsidRPr="00107B76">
        <w:rPr>
          <w:lang w:val="en-GB"/>
        </w:rPr>
        <w:t xml:space="preserve"> (if the </w:t>
      </w:r>
      <w:r w:rsidR="0031772B" w:rsidRPr="00107B76">
        <w:rPr>
          <w:lang w:val="en-GB"/>
        </w:rPr>
        <w:t>aid</w:t>
      </w:r>
      <w:r w:rsidR="00E274CB" w:rsidRPr="00107B76">
        <w:rPr>
          <w:lang w:val="en-GB"/>
        </w:rPr>
        <w:t xml:space="preserve"> is </w:t>
      </w:r>
      <w:r w:rsidR="0031772B" w:rsidRPr="00107B76">
        <w:rPr>
          <w:lang w:val="en-GB"/>
        </w:rPr>
        <w:t>granted</w:t>
      </w:r>
      <w:r w:rsidR="00E274CB" w:rsidRPr="00107B76">
        <w:rPr>
          <w:lang w:val="en-GB"/>
        </w:rPr>
        <w:t xml:space="preserve"> on the basis </w:t>
      </w:r>
      <w:r w:rsidR="00AE5C34" w:rsidRPr="00107B76">
        <w:rPr>
          <w:lang w:val="en-GB"/>
        </w:rPr>
        <w:t xml:space="preserve">of </w:t>
      </w:r>
      <w:r w:rsidR="0065798B" w:rsidRPr="00107B76">
        <w:rPr>
          <w:lang w:val="en-GB"/>
        </w:rPr>
        <w:t>Article</w:t>
      </w:r>
      <w:r w:rsidR="0031772B" w:rsidRPr="00107B76">
        <w:rPr>
          <w:lang w:val="en-GB"/>
        </w:rPr>
        <w:t xml:space="preserve"> 25 of State</w:t>
      </w:r>
      <w:r w:rsidR="00AE5C34" w:rsidRPr="00107B76">
        <w:rPr>
          <w:lang w:val="en-GB"/>
        </w:rPr>
        <w:t xml:space="preserve"> Aid </w:t>
      </w:r>
      <w:r w:rsidR="00040125" w:rsidRPr="00107B76">
        <w:rPr>
          <w:lang w:val="en-GB"/>
        </w:rPr>
        <w:t xml:space="preserve">Regulation). </w:t>
      </w:r>
    </w:p>
    <w:p w14:paraId="419BE49A" w14:textId="1E374D9C" w:rsidR="00FE0AED" w:rsidRPr="00107B76" w:rsidRDefault="00FC6C67" w:rsidP="00AD73C5">
      <w:pPr>
        <w:pStyle w:val="ListParagraph"/>
        <w:numPr>
          <w:ilvl w:val="0"/>
          <w:numId w:val="3"/>
        </w:numPr>
        <w:tabs>
          <w:tab w:val="left" w:pos="993"/>
          <w:tab w:val="left" w:pos="1134"/>
          <w:tab w:val="left" w:pos="1276"/>
        </w:tabs>
        <w:ind w:left="0" w:firstLine="709"/>
        <w:contextualSpacing w:val="0"/>
        <w:jc w:val="both"/>
        <w:rPr>
          <w:color w:val="000000"/>
          <w:lang w:val="en-GB"/>
        </w:rPr>
      </w:pPr>
      <w:r w:rsidRPr="00107B76">
        <w:rPr>
          <w:i/>
          <w:iCs/>
          <w:color w:val="000000"/>
          <w:lang w:val="en-GB"/>
        </w:rPr>
        <w:t xml:space="preserve">De minimis </w:t>
      </w:r>
      <w:r w:rsidRPr="00107B76">
        <w:rPr>
          <w:lang w:val="en-GB"/>
        </w:rPr>
        <w:t xml:space="preserve">aid is not </w:t>
      </w:r>
      <w:r w:rsidR="00AB7773" w:rsidRPr="00107B76">
        <w:rPr>
          <w:lang w:val="en-GB"/>
        </w:rPr>
        <w:t xml:space="preserve">cumulated with </w:t>
      </w:r>
      <w:r w:rsidR="00835623" w:rsidRPr="00107B76">
        <w:rPr>
          <w:lang w:val="en-GB"/>
        </w:rPr>
        <w:t>State</w:t>
      </w:r>
      <w:r w:rsidR="00AB7773" w:rsidRPr="00107B76">
        <w:rPr>
          <w:lang w:val="en-GB"/>
        </w:rPr>
        <w:t xml:space="preserve"> aid</w:t>
      </w:r>
      <w:r w:rsidR="004763A0" w:rsidRPr="00107B76">
        <w:rPr>
          <w:lang w:val="en-GB"/>
        </w:rPr>
        <w:t xml:space="preserve"> </w:t>
      </w:r>
      <w:r w:rsidR="00A07B9E" w:rsidRPr="00107B76">
        <w:rPr>
          <w:lang w:val="en-GB"/>
        </w:rPr>
        <w:t>granted for the s</w:t>
      </w:r>
      <w:r w:rsidR="006057F9" w:rsidRPr="00107B76">
        <w:rPr>
          <w:lang w:val="en-GB"/>
        </w:rPr>
        <w:t>a</w:t>
      </w:r>
      <w:r w:rsidR="00A07B9E" w:rsidRPr="00107B76">
        <w:rPr>
          <w:lang w:val="en-GB"/>
        </w:rPr>
        <w:t xml:space="preserve">me </w:t>
      </w:r>
      <w:r w:rsidR="0025029E" w:rsidRPr="00107B76">
        <w:rPr>
          <w:lang w:val="en-GB"/>
        </w:rPr>
        <w:t>eligible costs</w:t>
      </w:r>
      <w:r w:rsidR="00887600" w:rsidRPr="00107B76">
        <w:rPr>
          <w:lang w:val="en-GB"/>
        </w:rPr>
        <w:t xml:space="preserve"> if </w:t>
      </w:r>
      <w:r w:rsidR="00C267BE" w:rsidRPr="00107B76">
        <w:rPr>
          <w:lang w:val="en-GB"/>
        </w:rPr>
        <w:t>suc</w:t>
      </w:r>
      <w:r w:rsidR="00E3422B" w:rsidRPr="00107B76">
        <w:rPr>
          <w:lang w:val="en-GB"/>
        </w:rPr>
        <w:t>h</w:t>
      </w:r>
      <w:r w:rsidR="00C267BE" w:rsidRPr="00107B76">
        <w:rPr>
          <w:lang w:val="en-GB"/>
        </w:rPr>
        <w:t xml:space="preserve"> cumulation </w:t>
      </w:r>
      <w:r w:rsidR="00E3422B" w:rsidRPr="00107B76">
        <w:rPr>
          <w:lang w:val="en-GB"/>
        </w:rPr>
        <w:t xml:space="preserve">would result in </w:t>
      </w:r>
      <w:r w:rsidR="006F2A59" w:rsidRPr="00107B76">
        <w:rPr>
          <w:lang w:val="en-GB"/>
        </w:rPr>
        <w:t>exce</w:t>
      </w:r>
      <w:r w:rsidR="00EE0F4E" w:rsidRPr="00107B76">
        <w:rPr>
          <w:lang w:val="en-GB"/>
        </w:rPr>
        <w:t xml:space="preserve">eding the highest </w:t>
      </w:r>
      <w:r w:rsidR="00AA0F26" w:rsidRPr="00107B76">
        <w:rPr>
          <w:lang w:val="en-GB"/>
        </w:rPr>
        <w:t xml:space="preserve">intensity of the </w:t>
      </w:r>
      <w:r w:rsidR="003F00ED" w:rsidRPr="00107B76">
        <w:rPr>
          <w:lang w:val="en-GB"/>
        </w:rPr>
        <w:t>aid in question</w:t>
      </w:r>
      <w:r w:rsidR="00B50EAD" w:rsidRPr="00107B76">
        <w:rPr>
          <w:lang w:val="en-GB"/>
        </w:rPr>
        <w:t>, as</w:t>
      </w:r>
      <w:r w:rsidR="00E872C3" w:rsidRPr="00107B76">
        <w:rPr>
          <w:lang w:val="en-GB"/>
        </w:rPr>
        <w:t xml:space="preserve"> </w:t>
      </w:r>
      <w:r w:rsidR="00B50EAD" w:rsidRPr="00107B76">
        <w:rPr>
          <w:lang w:val="en-GB"/>
        </w:rPr>
        <w:t>it</w:t>
      </w:r>
      <w:r w:rsidR="00FE0AED" w:rsidRPr="00107B76">
        <w:rPr>
          <w:lang w:val="en-GB"/>
        </w:rPr>
        <w:t xml:space="preserve"> </w:t>
      </w:r>
      <w:r w:rsidR="009B1A16" w:rsidRPr="00107B76">
        <w:rPr>
          <w:lang w:val="en-GB"/>
        </w:rPr>
        <w:t xml:space="preserve">is </w:t>
      </w:r>
      <w:r w:rsidR="00FE0AED" w:rsidRPr="00107B76">
        <w:rPr>
          <w:lang w:val="en-GB"/>
        </w:rPr>
        <w:t>determined</w:t>
      </w:r>
      <w:r w:rsidR="009B1A16" w:rsidRPr="00107B76">
        <w:rPr>
          <w:lang w:val="en-GB"/>
        </w:rPr>
        <w:t xml:space="preserve"> </w:t>
      </w:r>
      <w:r w:rsidR="00B50EAD" w:rsidRPr="00107B76">
        <w:rPr>
          <w:lang w:val="en-GB"/>
        </w:rPr>
        <w:t>in</w:t>
      </w:r>
      <w:r w:rsidR="009B1A16" w:rsidRPr="00107B76">
        <w:rPr>
          <w:lang w:val="en-GB"/>
        </w:rPr>
        <w:t xml:space="preserve"> S</w:t>
      </w:r>
      <w:r w:rsidR="00833CAD" w:rsidRPr="00107B76">
        <w:rPr>
          <w:lang w:val="en-GB"/>
        </w:rPr>
        <w:t>ta</w:t>
      </w:r>
      <w:r w:rsidR="008558C8" w:rsidRPr="00107B76">
        <w:rPr>
          <w:lang w:val="en-GB"/>
        </w:rPr>
        <w:t>t</w:t>
      </w:r>
      <w:r w:rsidR="00833CAD" w:rsidRPr="00107B76">
        <w:rPr>
          <w:lang w:val="en-GB"/>
        </w:rPr>
        <w:t xml:space="preserve">e Aid Regulation </w:t>
      </w:r>
      <w:r w:rsidR="00E739C3" w:rsidRPr="00107B76">
        <w:rPr>
          <w:lang w:val="en-GB"/>
        </w:rPr>
        <w:t xml:space="preserve">or the decision adopted by the European </w:t>
      </w:r>
      <w:r w:rsidR="008558C8" w:rsidRPr="00107B76">
        <w:rPr>
          <w:lang w:val="en-GB"/>
        </w:rPr>
        <w:t>Commission</w:t>
      </w:r>
      <w:r w:rsidR="00B50EAD" w:rsidRPr="00107B76">
        <w:rPr>
          <w:lang w:val="en-GB"/>
        </w:rPr>
        <w:t xml:space="preserve">, </w:t>
      </w:r>
      <w:r w:rsidR="001E7E84" w:rsidRPr="00107B76">
        <w:rPr>
          <w:lang w:val="en-GB"/>
        </w:rPr>
        <w:t xml:space="preserve">or the amount </w:t>
      </w:r>
      <w:r w:rsidR="00434EDB" w:rsidRPr="00107B76">
        <w:rPr>
          <w:lang w:val="en-GB"/>
        </w:rPr>
        <w:t>determined</w:t>
      </w:r>
      <w:r w:rsidR="001E7E84" w:rsidRPr="00107B76">
        <w:rPr>
          <w:lang w:val="en-GB"/>
        </w:rPr>
        <w:t xml:space="preserve"> </w:t>
      </w:r>
      <w:r w:rsidR="00434EDB" w:rsidRPr="00107B76">
        <w:rPr>
          <w:lang w:val="en-GB"/>
        </w:rPr>
        <w:t xml:space="preserve">on a case-by-case basis. </w:t>
      </w:r>
    </w:p>
    <w:p w14:paraId="16BF9A70" w14:textId="5C4DB74C" w:rsidR="00DD4BD6" w:rsidRPr="00107B76" w:rsidRDefault="003E5A3F" w:rsidP="00107B76">
      <w:pPr>
        <w:pStyle w:val="ListParagraph"/>
        <w:numPr>
          <w:ilvl w:val="0"/>
          <w:numId w:val="3"/>
        </w:numPr>
        <w:tabs>
          <w:tab w:val="left" w:pos="993"/>
          <w:tab w:val="left" w:pos="1134"/>
          <w:tab w:val="left" w:pos="1276"/>
        </w:tabs>
        <w:ind w:left="0" w:firstLine="709"/>
        <w:contextualSpacing w:val="0"/>
        <w:jc w:val="both"/>
        <w:rPr>
          <w:color w:val="000000"/>
          <w:lang w:val="en-GB"/>
        </w:rPr>
      </w:pPr>
      <w:r w:rsidRPr="00107B76">
        <w:rPr>
          <w:lang w:val="en-GB" w:eastAsia="lt-LT"/>
        </w:rPr>
        <w:t xml:space="preserve">In line with the Article 3 of the </w:t>
      </w:r>
      <w:r w:rsidRPr="00107B76">
        <w:rPr>
          <w:i/>
          <w:iCs/>
          <w:lang w:val="en-GB" w:eastAsia="lt-LT"/>
        </w:rPr>
        <w:t>De minimis</w:t>
      </w:r>
      <w:r w:rsidRPr="00107B76">
        <w:rPr>
          <w:lang w:val="en-GB" w:eastAsia="lt-LT"/>
        </w:rPr>
        <w:t xml:space="preserve"> Regulation, the total amount of </w:t>
      </w:r>
      <w:r w:rsidRPr="00107B76">
        <w:rPr>
          <w:i/>
          <w:iCs/>
          <w:lang w:val="en-GB" w:eastAsia="lt-LT"/>
        </w:rPr>
        <w:t>de minimis</w:t>
      </w:r>
      <w:r w:rsidRPr="00107B76">
        <w:rPr>
          <w:lang w:val="en-GB" w:eastAsia="lt-LT"/>
        </w:rPr>
        <w:t xml:space="preserve"> aid granted to a single undertaking shall not exceed EUR 200 000 over any period of three fiscal years. </w:t>
      </w:r>
      <w:r w:rsidRPr="00107B76">
        <w:rPr>
          <w:lang w:val="en-GB"/>
        </w:rPr>
        <w:t xml:space="preserve">The total amount of </w:t>
      </w:r>
      <w:r w:rsidRPr="00107B76">
        <w:rPr>
          <w:i/>
          <w:iCs/>
          <w:lang w:val="en-GB"/>
        </w:rPr>
        <w:t>de minimis</w:t>
      </w:r>
      <w:r w:rsidRPr="00107B76">
        <w:rPr>
          <w:lang w:val="en-GB"/>
        </w:rPr>
        <w:t xml:space="preserve"> aid granted to a single undertaking performing road freight transport for hire or reward shall not exceed EUR 100 000. The ceilings shall apply irrespective of the form of </w:t>
      </w:r>
      <w:r w:rsidRPr="00107B76">
        <w:rPr>
          <w:i/>
          <w:iCs/>
          <w:lang w:val="en-GB"/>
        </w:rPr>
        <w:t>de minimis</w:t>
      </w:r>
      <w:r w:rsidRPr="00107B76">
        <w:rPr>
          <w:lang w:val="en-GB"/>
        </w:rPr>
        <w:t xml:space="preserve"> aid or the objective pursued and regardless of whether the aid granted by the Member State is financed entirely or partly by resources of Union origin. A single undertaking includes all the enterprises indicated in the Article 2. A Project Promoter or Partner (-s)</w:t>
      </w:r>
      <w:r w:rsidR="00401538" w:rsidRPr="00107B76">
        <w:rPr>
          <w:lang w:val="en-GB"/>
        </w:rPr>
        <w:t>, which is an entity established in Lithuanian,</w:t>
      </w:r>
      <w:r w:rsidRPr="00107B76">
        <w:rPr>
          <w:lang w:val="en-GB"/>
        </w:rPr>
        <w:t xml:space="preserve"> can check whether they are related to other entities by filling in a questionnaire ‘Is a Beneficiary Related to Other Entities’, prepared by the Competition Council of the Republic of Lithuania and published on their official webpage (</w:t>
      </w:r>
      <w:hyperlink r:id="rId12" w:history="1">
        <w:r w:rsidRPr="00107B76">
          <w:rPr>
            <w:rStyle w:val="Hyperlink"/>
            <w:lang w:val="en-GB"/>
          </w:rPr>
          <w:t>https://kt.gov.lt/uploads/documents/files/veiklos-sritys/valstybes-pagalba/klausimynai/kaip_KLAUSIMYNAS_vienas_ukio_subjektas.pdf</w:t>
        </w:r>
      </w:hyperlink>
      <w:r w:rsidRPr="00107B76">
        <w:rPr>
          <w:lang w:val="en-GB"/>
        </w:rPr>
        <w:t>).</w:t>
      </w:r>
      <w:bookmarkStart w:id="3" w:name="part_f4ff961e0fe74825b201a805cd15067f"/>
      <w:bookmarkEnd w:id="3"/>
      <w:r w:rsidR="00713213" w:rsidRPr="00107B76">
        <w:rPr>
          <w:lang w:val="en-GB"/>
        </w:rPr>
        <w:t>MITA check</w:t>
      </w:r>
      <w:r w:rsidR="000D268F" w:rsidRPr="00107B76">
        <w:rPr>
          <w:lang w:val="en-GB"/>
        </w:rPr>
        <w:t>s</w:t>
      </w:r>
      <w:r w:rsidR="00713213" w:rsidRPr="00107B76">
        <w:rPr>
          <w:lang w:val="en-GB"/>
        </w:rPr>
        <w:t xml:space="preserve"> all the related undertakings which are listed in </w:t>
      </w:r>
      <w:r w:rsidR="0005530B" w:rsidRPr="00107B76">
        <w:rPr>
          <w:lang w:val="en-GB"/>
        </w:rPr>
        <w:t xml:space="preserve">a </w:t>
      </w:r>
      <w:r w:rsidR="00713213" w:rsidRPr="00107B76">
        <w:rPr>
          <w:lang w:val="en-GB"/>
        </w:rPr>
        <w:t>Declaration of Single Undertaking,</w:t>
      </w:r>
      <w:r w:rsidR="00A2683A" w:rsidRPr="00107B76">
        <w:rPr>
          <w:lang w:val="en-GB"/>
        </w:rPr>
        <w:t xml:space="preserve"> the recommend </w:t>
      </w:r>
      <w:r w:rsidR="00A12C33" w:rsidRPr="00107B76">
        <w:rPr>
          <w:lang w:val="en-GB"/>
        </w:rPr>
        <w:t>template</w:t>
      </w:r>
      <w:r w:rsidR="00A2683A" w:rsidRPr="00107B76">
        <w:rPr>
          <w:lang w:val="en-GB"/>
        </w:rPr>
        <w:t xml:space="preserve"> of which </w:t>
      </w:r>
      <w:r w:rsidR="00A16C3D" w:rsidRPr="00107B76">
        <w:rPr>
          <w:lang w:val="en-GB"/>
        </w:rPr>
        <w:t xml:space="preserve">is </w:t>
      </w:r>
      <w:r w:rsidR="00A2683A" w:rsidRPr="00107B76">
        <w:rPr>
          <w:lang w:val="en-GB"/>
        </w:rPr>
        <w:t xml:space="preserve">provided </w:t>
      </w:r>
      <w:r w:rsidR="00A16C3D" w:rsidRPr="00107B76">
        <w:rPr>
          <w:lang w:val="en-GB"/>
        </w:rPr>
        <w:t>together</w:t>
      </w:r>
      <w:r w:rsidR="00A12C33" w:rsidRPr="00107B76">
        <w:rPr>
          <w:lang w:val="en-GB"/>
        </w:rPr>
        <w:t xml:space="preserve"> with the Call</w:t>
      </w:r>
      <w:r w:rsidR="00713213" w:rsidRPr="00107B76">
        <w:rPr>
          <w:lang w:val="en-GB"/>
        </w:rPr>
        <w:t xml:space="preserve">, as well as </w:t>
      </w:r>
      <w:r w:rsidR="002161DD" w:rsidRPr="00107B76">
        <w:rPr>
          <w:lang w:val="en-GB"/>
        </w:rPr>
        <w:t>ch</w:t>
      </w:r>
      <w:r w:rsidR="007425F5" w:rsidRPr="00107B76">
        <w:rPr>
          <w:lang w:val="en-GB"/>
        </w:rPr>
        <w:t xml:space="preserve">ecks </w:t>
      </w:r>
      <w:r w:rsidR="001043BC" w:rsidRPr="00107B76">
        <w:rPr>
          <w:lang w:val="en-GB"/>
        </w:rPr>
        <w:t xml:space="preserve">in the Register </w:t>
      </w:r>
      <w:r w:rsidR="008447E9" w:rsidRPr="00107B76">
        <w:rPr>
          <w:lang w:val="en-GB"/>
        </w:rPr>
        <w:t xml:space="preserve">if </w:t>
      </w:r>
      <w:r w:rsidR="004D74D7" w:rsidRPr="00107B76">
        <w:rPr>
          <w:lang w:val="en-GB"/>
        </w:rPr>
        <w:t>the aid to be granted</w:t>
      </w:r>
      <w:r w:rsidR="00A65076" w:rsidRPr="00107B76">
        <w:rPr>
          <w:lang w:val="en-GB"/>
        </w:rPr>
        <w:t xml:space="preserve"> doe</w:t>
      </w:r>
      <w:r w:rsidR="001043BC" w:rsidRPr="00107B76">
        <w:rPr>
          <w:lang w:val="en-GB"/>
        </w:rPr>
        <w:t>s</w:t>
      </w:r>
      <w:r w:rsidR="00A65076" w:rsidRPr="00107B76">
        <w:rPr>
          <w:lang w:val="en-GB"/>
        </w:rPr>
        <w:t xml:space="preserve"> not exceed </w:t>
      </w:r>
      <w:r w:rsidR="00A86FA2" w:rsidRPr="00107B76">
        <w:rPr>
          <w:lang w:val="en-GB"/>
        </w:rPr>
        <w:t xml:space="preserve">allowable </w:t>
      </w:r>
      <w:r w:rsidR="00A86FA2" w:rsidRPr="00107B76">
        <w:rPr>
          <w:i/>
          <w:iCs/>
          <w:lang w:val="en-GB"/>
        </w:rPr>
        <w:t xml:space="preserve">de minimis </w:t>
      </w:r>
      <w:r w:rsidR="00A86FA2" w:rsidRPr="00107B76">
        <w:rPr>
          <w:lang w:val="en-GB"/>
        </w:rPr>
        <w:t>aid</w:t>
      </w:r>
      <w:r w:rsidR="001043BC" w:rsidRPr="00107B76">
        <w:rPr>
          <w:lang w:val="en-GB"/>
        </w:rPr>
        <w:t xml:space="preserve">, as </w:t>
      </w:r>
      <w:r w:rsidR="00713213" w:rsidRPr="00107B76">
        <w:rPr>
          <w:lang w:val="en-GB"/>
        </w:rPr>
        <w:t xml:space="preserve">stipulated in Article 3 of the </w:t>
      </w:r>
      <w:r w:rsidR="00713213" w:rsidRPr="00107B76">
        <w:rPr>
          <w:i/>
          <w:iCs/>
          <w:lang w:val="en-GB"/>
        </w:rPr>
        <w:t xml:space="preserve">De minimis </w:t>
      </w:r>
      <w:r w:rsidR="00713213" w:rsidRPr="00107B76">
        <w:rPr>
          <w:lang w:val="en-GB"/>
        </w:rPr>
        <w:t xml:space="preserve">Regulation. </w:t>
      </w:r>
    </w:p>
    <w:p w14:paraId="1CB2769B" w14:textId="0A32B93D" w:rsidR="00713213" w:rsidRPr="00107B76" w:rsidRDefault="00DD4BD6" w:rsidP="00352E78">
      <w:pPr>
        <w:pStyle w:val="ListParagraph"/>
        <w:numPr>
          <w:ilvl w:val="0"/>
          <w:numId w:val="3"/>
        </w:numPr>
        <w:tabs>
          <w:tab w:val="left" w:pos="993"/>
          <w:tab w:val="left" w:pos="1134"/>
          <w:tab w:val="left" w:pos="1276"/>
        </w:tabs>
        <w:ind w:left="0" w:firstLine="709"/>
        <w:contextualSpacing w:val="0"/>
        <w:jc w:val="both"/>
        <w:rPr>
          <w:color w:val="000000"/>
          <w:lang w:val="en-GB"/>
        </w:rPr>
      </w:pPr>
      <w:r w:rsidRPr="00107B76">
        <w:rPr>
          <w:lang w:val="en-GB"/>
        </w:rPr>
        <w:t xml:space="preserve">During assessment of an application MITA checks if an applicant </w:t>
      </w:r>
      <w:r w:rsidR="00352E78" w:rsidRPr="00107B76">
        <w:rPr>
          <w:lang w:val="en-GB"/>
        </w:rPr>
        <w:t xml:space="preserve">and a project partner </w:t>
      </w:r>
      <w:r w:rsidRPr="00107B76">
        <w:rPr>
          <w:lang w:val="en-GB"/>
        </w:rPr>
        <w:t>ha</w:t>
      </w:r>
      <w:r w:rsidR="00352E78" w:rsidRPr="00107B76">
        <w:rPr>
          <w:lang w:val="en-GB"/>
        </w:rPr>
        <w:t>ve</w:t>
      </w:r>
      <w:r w:rsidRPr="00107B76">
        <w:rPr>
          <w:lang w:val="en-GB"/>
        </w:rPr>
        <w:t xml:space="preserve"> the right to obtain State aid under State Aid Regulation</w:t>
      </w:r>
      <w:r w:rsidR="00352E78" w:rsidRPr="00107B76">
        <w:rPr>
          <w:lang w:val="en-GB"/>
        </w:rPr>
        <w:t xml:space="preserve"> and</w:t>
      </w:r>
      <w:r w:rsidR="00352E78" w:rsidRPr="00107B76">
        <w:rPr>
          <w:color w:val="000000"/>
          <w:lang w:val="en-GB"/>
        </w:rPr>
        <w:t xml:space="preserve"> </w:t>
      </w:r>
      <w:r w:rsidR="00352E78" w:rsidRPr="00107B76">
        <w:rPr>
          <w:i/>
          <w:iCs/>
          <w:lang w:val="en-GB"/>
        </w:rPr>
        <w:t>de minimis</w:t>
      </w:r>
      <w:r w:rsidR="00352E78" w:rsidRPr="00107B76">
        <w:rPr>
          <w:lang w:val="en-GB"/>
        </w:rPr>
        <w:t xml:space="preserve"> aid granted per a single undertaking</w:t>
      </w:r>
      <w:r w:rsidR="00107B76" w:rsidRPr="00107B76">
        <w:rPr>
          <w:lang w:val="en-GB"/>
        </w:rPr>
        <w:t xml:space="preserve"> (Annex 5 to the Guidelines).</w:t>
      </w:r>
      <w:r w:rsidR="00352E78" w:rsidRPr="00107B76">
        <w:rPr>
          <w:lang w:val="en-GB"/>
        </w:rPr>
        <w:t xml:space="preserve"> </w:t>
      </w:r>
      <w:r w:rsidRPr="00107B76">
        <w:rPr>
          <w:lang w:val="en-GB"/>
        </w:rPr>
        <w:t xml:space="preserve">The decision regarding financing a project having </w:t>
      </w:r>
      <w:r w:rsidRPr="00107B76">
        <w:rPr>
          <w:lang w:val="en-GB"/>
        </w:rPr>
        <w:lastRenderedPageBreak/>
        <w:t xml:space="preserve">been made, within 5 working days, MITA shall register the amount of State aid granted </w:t>
      </w:r>
      <w:r w:rsidR="00352E78" w:rsidRPr="00107B76">
        <w:rPr>
          <w:lang w:val="en-GB"/>
        </w:rPr>
        <w:t xml:space="preserve">and the amount of the granted </w:t>
      </w:r>
      <w:r w:rsidR="00352E78" w:rsidRPr="00107B76">
        <w:rPr>
          <w:i/>
          <w:iCs/>
          <w:lang w:val="en-GB"/>
        </w:rPr>
        <w:t>de minimis</w:t>
      </w:r>
      <w:r w:rsidR="00352E78" w:rsidRPr="00107B76">
        <w:rPr>
          <w:lang w:val="en-GB"/>
        </w:rPr>
        <w:t xml:space="preserve"> aid </w:t>
      </w:r>
      <w:r w:rsidRPr="00107B76">
        <w:rPr>
          <w:lang w:val="en-GB"/>
        </w:rPr>
        <w:t>in the Granted State Aid and de Minimis Aid Register, provisions of which were approved by the Government of the Republic of Lithuania by 19 January 2005 order No. 35 ‘On Approval of Provisions for the Granted State Aid and de Minimis Aid Register’ (hereafter referred to as ‘the Register’).</w:t>
      </w:r>
    </w:p>
    <w:p w14:paraId="56CE191A" w14:textId="77777777" w:rsidR="003628A9" w:rsidRPr="00107B76" w:rsidRDefault="003628A9" w:rsidP="000F2FB6">
      <w:pPr>
        <w:rPr>
          <w:b/>
          <w:bCs/>
          <w:color w:val="000000"/>
          <w:lang w:val="en-GB"/>
        </w:rPr>
      </w:pPr>
    </w:p>
    <w:p w14:paraId="22386BAE" w14:textId="20BEE7C4" w:rsidR="00DF718D" w:rsidRPr="00107B76" w:rsidRDefault="00352E78" w:rsidP="00DF6BBE">
      <w:pPr>
        <w:jc w:val="center"/>
        <w:rPr>
          <w:color w:val="000000"/>
          <w:lang w:val="en-GB"/>
        </w:rPr>
      </w:pPr>
      <w:r w:rsidRPr="00107B76">
        <w:rPr>
          <w:b/>
          <w:bCs/>
          <w:color w:val="000000"/>
          <w:lang w:val="en-GB"/>
        </w:rPr>
        <w:t>Article 2</w:t>
      </w:r>
    </w:p>
    <w:p w14:paraId="1E6DAEF8" w14:textId="2A29E407" w:rsidR="008C2524" w:rsidRPr="00107B76" w:rsidRDefault="00824AE2" w:rsidP="00DF6BBE">
      <w:pPr>
        <w:jc w:val="center"/>
        <w:rPr>
          <w:b/>
          <w:bCs/>
          <w:color w:val="000000"/>
          <w:lang w:val="en-GB"/>
        </w:rPr>
      </w:pPr>
      <w:r w:rsidRPr="00107B76">
        <w:rPr>
          <w:rStyle w:val="apple-converted-space"/>
          <w:b/>
          <w:bCs/>
          <w:color w:val="000000"/>
          <w:lang w:val="en-GB"/>
        </w:rPr>
        <w:t xml:space="preserve">REQUIREMENTS FOR </w:t>
      </w:r>
      <w:r w:rsidR="00C9491E" w:rsidRPr="00107B76">
        <w:rPr>
          <w:rStyle w:val="apple-converted-space"/>
          <w:b/>
          <w:bCs/>
          <w:color w:val="000000"/>
          <w:lang w:val="en-GB"/>
        </w:rPr>
        <w:t>FUNDING OF PROJECTS</w:t>
      </w:r>
      <w:r w:rsidR="00C01B0E" w:rsidRPr="00107B76">
        <w:rPr>
          <w:rStyle w:val="apple-converted-space"/>
          <w:b/>
          <w:bCs/>
          <w:color w:val="000000"/>
          <w:lang w:val="en-GB"/>
        </w:rPr>
        <w:tab/>
      </w:r>
    </w:p>
    <w:p w14:paraId="667F407D" w14:textId="77777777" w:rsidR="00D87550" w:rsidRPr="00107B76" w:rsidRDefault="00D87550" w:rsidP="00DF6BBE">
      <w:pPr>
        <w:jc w:val="center"/>
        <w:rPr>
          <w:b/>
          <w:bCs/>
          <w:color w:val="000000"/>
          <w:lang w:val="en-GB"/>
        </w:rPr>
      </w:pPr>
    </w:p>
    <w:p w14:paraId="2E9DBFD2" w14:textId="12C2CD10" w:rsidR="00A21240" w:rsidRPr="00107B76" w:rsidRDefault="00A21240" w:rsidP="00AD73C5">
      <w:pPr>
        <w:pStyle w:val="ListParagraph"/>
        <w:numPr>
          <w:ilvl w:val="0"/>
          <w:numId w:val="3"/>
        </w:numPr>
        <w:tabs>
          <w:tab w:val="left" w:pos="993"/>
          <w:tab w:val="left" w:pos="1134"/>
        </w:tabs>
        <w:ind w:left="0" w:firstLine="709"/>
        <w:contextualSpacing w:val="0"/>
        <w:jc w:val="both"/>
        <w:rPr>
          <w:color w:val="000000"/>
          <w:lang w:val="en-GB"/>
        </w:rPr>
      </w:pPr>
      <w:bookmarkStart w:id="4" w:name="part_e76017f181fa4fd390a199b36853fb92"/>
      <w:bookmarkStart w:id="5" w:name="part_687b835496a14f049822ad2581efa662"/>
      <w:bookmarkStart w:id="6" w:name="part_6780831c0a7c4836a84c688c720a7234"/>
      <w:bookmarkEnd w:id="4"/>
      <w:bookmarkEnd w:id="5"/>
      <w:bookmarkEnd w:id="6"/>
      <w:r w:rsidRPr="00107B76">
        <w:rPr>
          <w:color w:val="000000"/>
          <w:lang w:val="en-GB"/>
        </w:rPr>
        <w:t xml:space="preserve">If State </w:t>
      </w:r>
      <w:r w:rsidR="00C06F94" w:rsidRPr="00107B76">
        <w:rPr>
          <w:color w:val="000000"/>
          <w:lang w:val="en-GB"/>
        </w:rPr>
        <w:t>a</w:t>
      </w:r>
      <w:r w:rsidR="009C03F6" w:rsidRPr="00107B76">
        <w:rPr>
          <w:color w:val="000000"/>
          <w:lang w:val="en-GB"/>
        </w:rPr>
        <w:t>id</w:t>
      </w:r>
      <w:r w:rsidR="003F0DEA" w:rsidRPr="00107B76">
        <w:rPr>
          <w:color w:val="000000"/>
          <w:lang w:val="en-GB"/>
        </w:rPr>
        <w:t xml:space="preserve"> i</w:t>
      </w:r>
      <w:r w:rsidR="009C03F6" w:rsidRPr="00107B76">
        <w:rPr>
          <w:color w:val="000000"/>
          <w:lang w:val="en-GB"/>
        </w:rPr>
        <w:t xml:space="preserve">s granted </w:t>
      </w:r>
      <w:r w:rsidR="00F05EF0" w:rsidRPr="00107B76">
        <w:rPr>
          <w:color w:val="000000"/>
          <w:lang w:val="en-GB"/>
        </w:rPr>
        <w:t xml:space="preserve">for </w:t>
      </w:r>
      <w:r w:rsidR="000A383E" w:rsidRPr="00107B76">
        <w:rPr>
          <w:color w:val="000000"/>
          <w:lang w:val="en-GB"/>
        </w:rPr>
        <w:t xml:space="preserve">the </w:t>
      </w:r>
      <w:r w:rsidR="00F05EF0" w:rsidRPr="00107B76">
        <w:rPr>
          <w:color w:val="000000"/>
          <w:lang w:val="en-GB"/>
        </w:rPr>
        <w:t xml:space="preserve">activities presented in </w:t>
      </w:r>
      <w:r w:rsidR="00CD2188" w:rsidRPr="00107B76">
        <w:rPr>
          <w:color w:val="000000"/>
          <w:lang w:val="en-GB"/>
        </w:rPr>
        <w:t xml:space="preserve">subparagraphs 13.1 and 13.2 of </w:t>
      </w:r>
      <w:r w:rsidR="003F0DEA" w:rsidRPr="00107B76">
        <w:rPr>
          <w:color w:val="000000"/>
          <w:lang w:val="en-GB"/>
        </w:rPr>
        <w:t>the</w:t>
      </w:r>
      <w:r w:rsidR="00CD2188" w:rsidRPr="00107B76">
        <w:rPr>
          <w:color w:val="000000"/>
          <w:lang w:val="en-GB"/>
        </w:rPr>
        <w:t xml:space="preserve"> Call, </w:t>
      </w:r>
      <w:r w:rsidR="004E3337" w:rsidRPr="00107B76">
        <w:rPr>
          <w:color w:val="000000"/>
          <w:lang w:val="en-GB"/>
        </w:rPr>
        <w:t xml:space="preserve">in line with </w:t>
      </w:r>
      <w:r w:rsidR="009B43B8" w:rsidRPr="00107B76">
        <w:rPr>
          <w:color w:val="000000"/>
          <w:lang w:val="en-GB"/>
        </w:rPr>
        <w:t xml:space="preserve">Chapter 25 of </w:t>
      </w:r>
      <w:r w:rsidR="004E3337" w:rsidRPr="00107B76">
        <w:rPr>
          <w:color w:val="000000"/>
          <w:lang w:val="en-GB"/>
        </w:rPr>
        <w:t>State Aid Regulation</w:t>
      </w:r>
      <w:r w:rsidR="00755149" w:rsidRPr="00107B76">
        <w:rPr>
          <w:color w:val="000000"/>
          <w:lang w:val="en-GB"/>
        </w:rPr>
        <w:t xml:space="preserve">, </w:t>
      </w:r>
      <w:r w:rsidR="00435FBE" w:rsidRPr="00107B76">
        <w:rPr>
          <w:color w:val="000000"/>
          <w:lang w:val="en-GB"/>
        </w:rPr>
        <w:t>the</w:t>
      </w:r>
      <w:r w:rsidR="00755149" w:rsidRPr="00107B76">
        <w:rPr>
          <w:color w:val="000000"/>
          <w:lang w:val="en-GB"/>
        </w:rPr>
        <w:t xml:space="preserve"> maximum </w:t>
      </w:r>
      <w:r w:rsidR="00685F71" w:rsidRPr="00107B76">
        <w:rPr>
          <w:color w:val="000000"/>
          <w:lang w:val="en-GB"/>
        </w:rPr>
        <w:t>aid intensity for a project</w:t>
      </w:r>
      <w:r w:rsidR="00435FBE" w:rsidRPr="00107B76">
        <w:rPr>
          <w:color w:val="000000"/>
          <w:lang w:val="en-GB"/>
        </w:rPr>
        <w:t xml:space="preserve">, which is presented in </w:t>
      </w:r>
      <w:r w:rsidR="008E19AA" w:rsidRPr="00107B76">
        <w:rPr>
          <w:color w:val="000000"/>
          <w:lang w:val="en-GB"/>
        </w:rPr>
        <w:t xml:space="preserve">the </w:t>
      </w:r>
      <w:r w:rsidR="00435FBE" w:rsidRPr="00107B76">
        <w:rPr>
          <w:color w:val="000000"/>
          <w:lang w:val="en-GB"/>
        </w:rPr>
        <w:t xml:space="preserve">Table </w:t>
      </w:r>
      <w:r w:rsidR="00575330" w:rsidRPr="00107B76">
        <w:rPr>
          <w:color w:val="000000"/>
          <w:lang w:val="en-GB"/>
        </w:rPr>
        <w:t xml:space="preserve">1, is calculated </w:t>
      </w:r>
      <w:r w:rsidR="002063BF" w:rsidRPr="00107B76">
        <w:rPr>
          <w:color w:val="000000"/>
          <w:lang w:val="en-GB"/>
        </w:rPr>
        <w:t>fo</w:t>
      </w:r>
      <w:r w:rsidR="00FF0E86" w:rsidRPr="00107B76">
        <w:rPr>
          <w:color w:val="000000"/>
          <w:lang w:val="en-GB"/>
        </w:rPr>
        <w:t xml:space="preserve">r </w:t>
      </w:r>
      <w:r w:rsidR="00D02ECE" w:rsidRPr="00107B76">
        <w:rPr>
          <w:color w:val="000000"/>
          <w:lang w:val="en-GB"/>
        </w:rPr>
        <w:t xml:space="preserve">eligible expenses </w:t>
      </w:r>
      <w:r w:rsidR="00FF0E86" w:rsidRPr="00107B76">
        <w:rPr>
          <w:color w:val="000000"/>
          <w:lang w:val="en-GB"/>
        </w:rPr>
        <w:t xml:space="preserve">of the activities </w:t>
      </w:r>
      <w:r w:rsidR="00B524D8" w:rsidRPr="00107B76">
        <w:rPr>
          <w:color w:val="000000"/>
          <w:lang w:val="en-GB"/>
        </w:rPr>
        <w:t>presented in subparagrap</w:t>
      </w:r>
      <w:r w:rsidR="008D52C9" w:rsidRPr="00107B76">
        <w:rPr>
          <w:color w:val="000000"/>
          <w:lang w:val="en-GB"/>
        </w:rPr>
        <w:t>h</w:t>
      </w:r>
      <w:r w:rsidR="00B524D8" w:rsidRPr="00107B76">
        <w:rPr>
          <w:color w:val="000000"/>
          <w:lang w:val="en-GB"/>
        </w:rPr>
        <w:t xml:space="preserve">s 13.1 and </w:t>
      </w:r>
      <w:r w:rsidR="008D52C9" w:rsidRPr="00107B76">
        <w:rPr>
          <w:color w:val="000000"/>
          <w:lang w:val="en-GB"/>
        </w:rPr>
        <w:t xml:space="preserve">13.2 of the Call. </w:t>
      </w:r>
    </w:p>
    <w:p w14:paraId="4DE1C758" w14:textId="470F28C9" w:rsidR="00D458F3" w:rsidRPr="00107B76" w:rsidRDefault="00D458F3" w:rsidP="00AD73C5">
      <w:pPr>
        <w:pStyle w:val="ListParagraph"/>
        <w:numPr>
          <w:ilvl w:val="0"/>
          <w:numId w:val="3"/>
        </w:numPr>
        <w:tabs>
          <w:tab w:val="left" w:pos="993"/>
          <w:tab w:val="left" w:pos="1134"/>
        </w:tabs>
        <w:ind w:left="0" w:firstLine="709"/>
        <w:contextualSpacing w:val="0"/>
        <w:jc w:val="both"/>
        <w:rPr>
          <w:color w:val="000000"/>
          <w:lang w:val="en-GB"/>
        </w:rPr>
      </w:pPr>
      <w:r w:rsidRPr="00107B76">
        <w:rPr>
          <w:color w:val="000000"/>
          <w:lang w:val="en-GB"/>
        </w:rPr>
        <w:t>The base</w:t>
      </w:r>
      <w:r w:rsidR="00A74A9F" w:rsidRPr="00107B76">
        <w:rPr>
          <w:color w:val="000000"/>
          <w:lang w:val="en-GB"/>
        </w:rPr>
        <w:t>line</w:t>
      </w:r>
      <w:r w:rsidRPr="00107B76">
        <w:rPr>
          <w:color w:val="000000"/>
          <w:lang w:val="en-GB"/>
        </w:rPr>
        <w:t xml:space="preserve"> aid intensity sha</w:t>
      </w:r>
      <w:r w:rsidR="00065986" w:rsidRPr="00107B76">
        <w:rPr>
          <w:color w:val="000000"/>
          <w:lang w:val="en-GB"/>
        </w:rPr>
        <w:t>ll not exceed:</w:t>
      </w:r>
    </w:p>
    <w:p w14:paraId="0E9648EB" w14:textId="77777777" w:rsidR="00065986" w:rsidRPr="00107B76" w:rsidRDefault="00ED0D9C" w:rsidP="00AD73C5">
      <w:pPr>
        <w:pStyle w:val="ListParagraph"/>
        <w:numPr>
          <w:ilvl w:val="1"/>
          <w:numId w:val="3"/>
        </w:numPr>
        <w:tabs>
          <w:tab w:val="left" w:pos="993"/>
          <w:tab w:val="left" w:pos="1134"/>
          <w:tab w:val="left" w:pos="1276"/>
          <w:tab w:val="left" w:pos="1418"/>
        </w:tabs>
        <w:ind w:left="0" w:firstLine="709"/>
        <w:contextualSpacing w:val="0"/>
        <w:jc w:val="both"/>
        <w:rPr>
          <w:lang w:val="en-GB"/>
        </w:rPr>
      </w:pPr>
      <w:r w:rsidRPr="00107B76">
        <w:rPr>
          <w:lang w:val="en-GB"/>
        </w:rPr>
        <w:t>50 % of the eligible costs for industrial research</w:t>
      </w:r>
      <w:r w:rsidR="00A21327" w:rsidRPr="00107B76">
        <w:rPr>
          <w:lang w:val="en-GB"/>
        </w:rPr>
        <w:t>;</w:t>
      </w:r>
    </w:p>
    <w:p w14:paraId="03FDB86E" w14:textId="5C00B9DA" w:rsidR="003C6FDD" w:rsidRPr="00107B76" w:rsidRDefault="000169CD" w:rsidP="00AD73C5">
      <w:pPr>
        <w:pStyle w:val="ListParagraph"/>
        <w:numPr>
          <w:ilvl w:val="1"/>
          <w:numId w:val="3"/>
        </w:numPr>
        <w:tabs>
          <w:tab w:val="left" w:pos="993"/>
          <w:tab w:val="left" w:pos="1134"/>
          <w:tab w:val="left" w:pos="1276"/>
          <w:tab w:val="left" w:pos="1418"/>
        </w:tabs>
        <w:ind w:left="0" w:firstLine="709"/>
        <w:contextualSpacing w:val="0"/>
        <w:jc w:val="both"/>
        <w:rPr>
          <w:lang w:val="en-GB"/>
        </w:rPr>
      </w:pPr>
      <w:r w:rsidRPr="00107B76">
        <w:rPr>
          <w:lang w:val="en-GB"/>
        </w:rPr>
        <w:t>25 % of the eligible costs for experimental development.</w:t>
      </w:r>
    </w:p>
    <w:p w14:paraId="39C3C58C" w14:textId="6F8DDD4C" w:rsidR="00A21327" w:rsidRPr="00107B76" w:rsidRDefault="00C607C1" w:rsidP="00AD73C5">
      <w:pPr>
        <w:pStyle w:val="ListParagraph"/>
        <w:numPr>
          <w:ilvl w:val="0"/>
          <w:numId w:val="3"/>
        </w:numPr>
        <w:tabs>
          <w:tab w:val="left" w:pos="709"/>
          <w:tab w:val="left" w:pos="993"/>
          <w:tab w:val="left" w:pos="1134"/>
          <w:tab w:val="left" w:pos="1276"/>
          <w:tab w:val="left" w:pos="1418"/>
        </w:tabs>
        <w:ind w:left="0" w:firstLine="709"/>
        <w:contextualSpacing w:val="0"/>
        <w:jc w:val="both"/>
        <w:rPr>
          <w:color w:val="000000"/>
          <w:lang w:val="en-GB"/>
        </w:rPr>
      </w:pPr>
      <w:r w:rsidRPr="00107B76">
        <w:rPr>
          <w:color w:val="000000"/>
          <w:lang w:val="en-GB"/>
        </w:rPr>
        <w:t xml:space="preserve">Aid intensity </w:t>
      </w:r>
      <w:r w:rsidR="001506DD" w:rsidRPr="00107B76">
        <w:rPr>
          <w:color w:val="000000"/>
          <w:lang w:val="en-GB"/>
        </w:rPr>
        <w:t>can</w:t>
      </w:r>
      <w:r w:rsidR="00FE4CAF" w:rsidRPr="00107B76">
        <w:rPr>
          <w:color w:val="000000"/>
          <w:lang w:val="en-GB"/>
        </w:rPr>
        <w:t xml:space="preserve"> </w:t>
      </w:r>
      <w:r w:rsidR="001506DD" w:rsidRPr="00107B76">
        <w:rPr>
          <w:color w:val="000000"/>
          <w:lang w:val="en-GB"/>
        </w:rPr>
        <w:t>be increase</w:t>
      </w:r>
      <w:r w:rsidR="002619DE" w:rsidRPr="00107B76">
        <w:rPr>
          <w:color w:val="000000"/>
          <w:lang w:val="en-GB"/>
        </w:rPr>
        <w:t>d</w:t>
      </w:r>
      <w:r w:rsidR="001506DD" w:rsidRPr="00107B76">
        <w:rPr>
          <w:color w:val="000000"/>
          <w:lang w:val="en-GB"/>
        </w:rPr>
        <w:t xml:space="preserve"> up to 80%</w:t>
      </w:r>
      <w:r w:rsidR="00FE4CAF" w:rsidRPr="00107B76">
        <w:rPr>
          <w:color w:val="000000"/>
          <w:lang w:val="en-GB"/>
        </w:rPr>
        <w:t xml:space="preserve"> for eligible expenses</w:t>
      </w:r>
      <w:r w:rsidR="00A83F4D" w:rsidRPr="00107B76">
        <w:rPr>
          <w:color w:val="000000"/>
          <w:lang w:val="en-GB"/>
        </w:rPr>
        <w:t xml:space="preserve"> as follows:</w:t>
      </w:r>
    </w:p>
    <w:p w14:paraId="5CF7A21C" w14:textId="0CBD554F" w:rsidR="0045167D" w:rsidRPr="00107B76" w:rsidRDefault="0079064E" w:rsidP="00AD73C5">
      <w:pPr>
        <w:pStyle w:val="ListParagraph"/>
        <w:numPr>
          <w:ilvl w:val="1"/>
          <w:numId w:val="3"/>
        </w:numPr>
        <w:tabs>
          <w:tab w:val="left" w:pos="993"/>
          <w:tab w:val="left" w:pos="1134"/>
          <w:tab w:val="left" w:pos="1276"/>
          <w:tab w:val="left" w:pos="1418"/>
        </w:tabs>
        <w:autoSpaceDE w:val="0"/>
        <w:autoSpaceDN w:val="0"/>
        <w:adjustRightInd w:val="0"/>
        <w:ind w:left="0" w:firstLine="709"/>
        <w:contextualSpacing w:val="0"/>
        <w:jc w:val="both"/>
        <w:rPr>
          <w:color w:val="000000"/>
          <w:lang w:val="en-GB"/>
        </w:rPr>
      </w:pPr>
      <w:r w:rsidRPr="00107B76">
        <w:rPr>
          <w:color w:val="000000"/>
          <w:lang w:val="en-GB"/>
        </w:rPr>
        <w:t xml:space="preserve">by 10 </w:t>
      </w:r>
      <w:r w:rsidR="0072137F" w:rsidRPr="00107B76">
        <w:rPr>
          <w:color w:val="000000"/>
          <w:lang w:val="en-GB"/>
        </w:rPr>
        <w:t>percentage points</w:t>
      </w:r>
      <w:r w:rsidRPr="00107B76">
        <w:rPr>
          <w:color w:val="000000"/>
          <w:lang w:val="en-GB"/>
        </w:rPr>
        <w:t xml:space="preserve"> for medium-sized enterprises</w:t>
      </w:r>
      <w:r w:rsidR="002E1324" w:rsidRPr="00107B76">
        <w:rPr>
          <w:color w:val="000000"/>
          <w:lang w:val="en-GB"/>
        </w:rPr>
        <w:t>;</w:t>
      </w:r>
    </w:p>
    <w:p w14:paraId="267E63D4" w14:textId="0276F498" w:rsidR="00A21327" w:rsidRPr="00107B76" w:rsidRDefault="002E1324" w:rsidP="00AD73C5">
      <w:pPr>
        <w:pStyle w:val="ListParagraph"/>
        <w:numPr>
          <w:ilvl w:val="1"/>
          <w:numId w:val="3"/>
        </w:numPr>
        <w:tabs>
          <w:tab w:val="left" w:pos="993"/>
          <w:tab w:val="left" w:pos="1134"/>
          <w:tab w:val="left" w:pos="1276"/>
          <w:tab w:val="left" w:pos="1418"/>
        </w:tabs>
        <w:autoSpaceDE w:val="0"/>
        <w:autoSpaceDN w:val="0"/>
        <w:adjustRightInd w:val="0"/>
        <w:ind w:left="0" w:firstLine="709"/>
        <w:contextualSpacing w:val="0"/>
        <w:jc w:val="both"/>
        <w:rPr>
          <w:color w:val="000000"/>
          <w:lang w:val="en-GB"/>
        </w:rPr>
      </w:pPr>
      <w:r w:rsidRPr="00107B76">
        <w:rPr>
          <w:color w:val="000000"/>
          <w:lang w:val="en-GB"/>
        </w:rPr>
        <w:t>by 20</w:t>
      </w:r>
      <w:r w:rsidR="0072137F" w:rsidRPr="00107B76">
        <w:rPr>
          <w:color w:val="000000"/>
          <w:lang w:val="en-GB"/>
        </w:rPr>
        <w:t xml:space="preserve"> percentage points</w:t>
      </w:r>
      <w:r w:rsidRPr="00107B76">
        <w:rPr>
          <w:color w:val="000000"/>
          <w:lang w:val="en-GB"/>
        </w:rPr>
        <w:t xml:space="preserve"> f</w:t>
      </w:r>
      <w:r w:rsidR="000D58FD" w:rsidRPr="00107B76">
        <w:rPr>
          <w:color w:val="000000"/>
          <w:lang w:val="en-GB"/>
        </w:rPr>
        <w:t xml:space="preserve">or small </w:t>
      </w:r>
      <w:r w:rsidR="0072137F" w:rsidRPr="00107B76">
        <w:rPr>
          <w:color w:val="000000"/>
          <w:lang w:val="en-GB"/>
        </w:rPr>
        <w:t>enterprises</w:t>
      </w:r>
      <w:r w:rsidR="00124677" w:rsidRPr="00107B76">
        <w:rPr>
          <w:color w:val="000000"/>
          <w:lang w:val="en-GB"/>
        </w:rPr>
        <w:t>;</w:t>
      </w:r>
    </w:p>
    <w:p w14:paraId="59C878EE" w14:textId="4EDD8F29" w:rsidR="00A21327" w:rsidRPr="00107B76" w:rsidRDefault="00203E5B" w:rsidP="00AD73C5">
      <w:pPr>
        <w:pStyle w:val="ListParagraph"/>
        <w:numPr>
          <w:ilvl w:val="1"/>
          <w:numId w:val="3"/>
        </w:numPr>
        <w:tabs>
          <w:tab w:val="left" w:pos="993"/>
          <w:tab w:val="left" w:pos="1134"/>
          <w:tab w:val="left" w:pos="1276"/>
          <w:tab w:val="left" w:pos="1418"/>
        </w:tabs>
        <w:autoSpaceDE w:val="0"/>
        <w:autoSpaceDN w:val="0"/>
        <w:adjustRightInd w:val="0"/>
        <w:ind w:left="0" w:firstLine="709"/>
        <w:contextualSpacing w:val="0"/>
        <w:jc w:val="both"/>
        <w:rPr>
          <w:color w:val="000000"/>
          <w:lang w:val="en-GB"/>
        </w:rPr>
      </w:pPr>
      <w:r w:rsidRPr="00107B76">
        <w:rPr>
          <w:color w:val="000000"/>
          <w:lang w:val="en-GB"/>
        </w:rPr>
        <w:t>by</w:t>
      </w:r>
      <w:r w:rsidR="00A21327" w:rsidRPr="00107B76">
        <w:rPr>
          <w:color w:val="000000"/>
          <w:lang w:val="en-GB"/>
        </w:rPr>
        <w:t xml:space="preserve"> </w:t>
      </w:r>
      <w:r w:rsidRPr="00107B76">
        <w:rPr>
          <w:lang w:val="en-GB"/>
        </w:rPr>
        <w:t>15 percentage points if one of the following conditions is fulfilled:</w:t>
      </w:r>
    </w:p>
    <w:p w14:paraId="7AD43626" w14:textId="56D9C001" w:rsidR="00A21327" w:rsidRPr="00107B76" w:rsidRDefault="00B659C8" w:rsidP="00AD73C5">
      <w:pPr>
        <w:pStyle w:val="ListParagraph"/>
        <w:numPr>
          <w:ilvl w:val="2"/>
          <w:numId w:val="3"/>
        </w:numPr>
        <w:tabs>
          <w:tab w:val="left" w:pos="993"/>
          <w:tab w:val="left" w:pos="1134"/>
          <w:tab w:val="left" w:pos="1276"/>
          <w:tab w:val="left" w:pos="1418"/>
        </w:tabs>
        <w:autoSpaceDE w:val="0"/>
        <w:autoSpaceDN w:val="0"/>
        <w:adjustRightInd w:val="0"/>
        <w:ind w:left="0" w:firstLine="709"/>
        <w:contextualSpacing w:val="0"/>
        <w:jc w:val="both"/>
        <w:rPr>
          <w:color w:val="000000"/>
          <w:lang w:val="en-GB"/>
        </w:rPr>
      </w:pPr>
      <w:r w:rsidRPr="00107B76">
        <w:rPr>
          <w:color w:val="000000"/>
          <w:lang w:val="en-GB"/>
        </w:rPr>
        <w:t>a</w:t>
      </w:r>
      <w:r w:rsidRPr="00107B76">
        <w:rPr>
          <w:lang w:val="en-GB"/>
        </w:rPr>
        <w:t xml:space="preserve"> project involves effective collaboration:</w:t>
      </w:r>
    </w:p>
    <w:p w14:paraId="12CDA50B" w14:textId="77777777" w:rsidR="00EB3B15" w:rsidRPr="00107B76" w:rsidRDefault="00FA21C9" w:rsidP="00AD73C5">
      <w:pPr>
        <w:pStyle w:val="ListParagraph"/>
        <w:numPr>
          <w:ilvl w:val="3"/>
          <w:numId w:val="3"/>
        </w:numPr>
        <w:tabs>
          <w:tab w:val="left" w:pos="993"/>
          <w:tab w:val="left" w:pos="1134"/>
          <w:tab w:val="left" w:pos="1276"/>
          <w:tab w:val="left" w:pos="1418"/>
          <w:tab w:val="left" w:pos="1701"/>
        </w:tabs>
        <w:autoSpaceDE w:val="0"/>
        <w:autoSpaceDN w:val="0"/>
        <w:adjustRightInd w:val="0"/>
        <w:ind w:left="0" w:firstLine="709"/>
        <w:contextualSpacing w:val="0"/>
        <w:jc w:val="both"/>
        <w:rPr>
          <w:color w:val="000000"/>
          <w:lang w:val="en-GB"/>
        </w:rPr>
      </w:pPr>
      <w:r w:rsidRPr="00107B76">
        <w:rPr>
          <w:lang w:val="en-GB"/>
        </w:rPr>
        <w:t>between undertakings among which at least one is an SME, or is carried out in at least two Member States, or in a Member State and in a Contracting Party of the EEA Agreement, and no single undertaking bears more</w:t>
      </w:r>
      <w:r w:rsidR="00A21327" w:rsidRPr="00107B76">
        <w:rPr>
          <w:color w:val="000000"/>
          <w:lang w:val="en-GB"/>
        </w:rPr>
        <w:t xml:space="preserve"> </w:t>
      </w:r>
      <w:r w:rsidR="00360B1D" w:rsidRPr="00107B76">
        <w:rPr>
          <w:lang w:val="en-GB"/>
        </w:rPr>
        <w:t xml:space="preserve">than 70 % of the eligible costs, </w:t>
      </w:r>
    </w:p>
    <w:p w14:paraId="6DAE7C24" w14:textId="36D0828B" w:rsidR="00783071" w:rsidRPr="00107B76" w:rsidRDefault="00674FD0" w:rsidP="00AD73C5">
      <w:pPr>
        <w:pStyle w:val="ListParagraph"/>
        <w:numPr>
          <w:ilvl w:val="3"/>
          <w:numId w:val="3"/>
        </w:numPr>
        <w:tabs>
          <w:tab w:val="left" w:pos="993"/>
          <w:tab w:val="left" w:pos="1134"/>
          <w:tab w:val="left" w:pos="1276"/>
          <w:tab w:val="left" w:pos="1418"/>
          <w:tab w:val="left" w:pos="1701"/>
        </w:tabs>
        <w:autoSpaceDE w:val="0"/>
        <w:autoSpaceDN w:val="0"/>
        <w:adjustRightInd w:val="0"/>
        <w:ind w:left="0" w:firstLine="709"/>
        <w:contextualSpacing w:val="0"/>
        <w:jc w:val="both"/>
        <w:rPr>
          <w:color w:val="000000"/>
          <w:lang w:val="en-GB"/>
        </w:rPr>
      </w:pPr>
      <w:r w:rsidRPr="00107B76">
        <w:rPr>
          <w:color w:val="000000"/>
          <w:lang w:val="en-GB"/>
        </w:rPr>
        <w:t xml:space="preserve"> </w:t>
      </w:r>
      <w:r w:rsidR="001A3E03" w:rsidRPr="00107B76">
        <w:rPr>
          <w:lang w:val="en-GB"/>
        </w:rPr>
        <w:t xml:space="preserve">between an undertaking and one or more research and knowledge-dissemination organisations, where </w:t>
      </w:r>
      <w:r w:rsidR="000468B4" w:rsidRPr="00107B76">
        <w:rPr>
          <w:lang w:val="en-GB"/>
        </w:rPr>
        <w:t>the latter bear at least 10 % of the eligible costs and have the right to publish their own research results</w:t>
      </w:r>
      <w:r w:rsidR="005543CB" w:rsidRPr="00107B76">
        <w:rPr>
          <w:lang w:val="en-GB"/>
        </w:rPr>
        <w:t>;</w:t>
      </w:r>
    </w:p>
    <w:p w14:paraId="0C59C201" w14:textId="5EB12122" w:rsidR="003578A9" w:rsidRPr="00107B76" w:rsidRDefault="00EA2CC3" w:rsidP="00AD73C5">
      <w:pPr>
        <w:pStyle w:val="ListParagraph"/>
        <w:numPr>
          <w:ilvl w:val="2"/>
          <w:numId w:val="3"/>
        </w:numPr>
        <w:tabs>
          <w:tab w:val="left" w:pos="993"/>
          <w:tab w:val="left" w:pos="1134"/>
          <w:tab w:val="left" w:pos="1276"/>
          <w:tab w:val="left" w:pos="1418"/>
        </w:tabs>
        <w:autoSpaceDE w:val="0"/>
        <w:autoSpaceDN w:val="0"/>
        <w:adjustRightInd w:val="0"/>
        <w:ind w:left="0" w:firstLine="709"/>
        <w:contextualSpacing w:val="0"/>
        <w:jc w:val="both"/>
        <w:rPr>
          <w:color w:val="000000"/>
          <w:lang w:val="en-GB"/>
        </w:rPr>
      </w:pPr>
      <w:r w:rsidRPr="00107B76">
        <w:rPr>
          <w:lang w:val="en-GB"/>
        </w:rPr>
        <w:t>the results of the project are widely disseminated through conferences, publication, open</w:t>
      </w:r>
      <w:r w:rsidR="00C129F1" w:rsidRPr="00107B76">
        <w:rPr>
          <w:lang w:val="en-GB"/>
        </w:rPr>
        <w:t xml:space="preserve"> access repositories, or free or open source software.</w:t>
      </w:r>
    </w:p>
    <w:p w14:paraId="3E544BC8" w14:textId="2773967F" w:rsidR="00674FD0" w:rsidRPr="00107B76" w:rsidRDefault="00674FD0" w:rsidP="004C0A76">
      <w:pPr>
        <w:jc w:val="both"/>
        <w:rPr>
          <w:color w:val="000000"/>
          <w:lang w:val="en-GB"/>
        </w:rPr>
      </w:pPr>
    </w:p>
    <w:p w14:paraId="09A9D1E3" w14:textId="475DC305" w:rsidR="005A6295" w:rsidRPr="00107B76" w:rsidRDefault="00BF5D6D" w:rsidP="004C0A76">
      <w:pPr>
        <w:jc w:val="both"/>
        <w:rPr>
          <w:lang w:val="en-GB"/>
        </w:rPr>
      </w:pPr>
      <w:r w:rsidRPr="00107B76">
        <w:rPr>
          <w:lang w:val="en-GB"/>
        </w:rPr>
        <w:t xml:space="preserve">Table 1. </w:t>
      </w:r>
      <w:r w:rsidR="005A6295" w:rsidRPr="00107B76">
        <w:rPr>
          <w:lang w:val="en-GB"/>
        </w:rPr>
        <w:t xml:space="preserve"> </w:t>
      </w:r>
      <w:r w:rsidRPr="00107B76">
        <w:rPr>
          <w:lang w:val="en-GB"/>
        </w:rPr>
        <w:t>Aid intensity</w:t>
      </w:r>
    </w:p>
    <w:tbl>
      <w:tblPr>
        <w:tblStyle w:val="TableGrid"/>
        <w:tblW w:w="9587" w:type="dxa"/>
        <w:tblLayout w:type="fixed"/>
        <w:tblLook w:val="04A0" w:firstRow="1" w:lastRow="0" w:firstColumn="1" w:lastColumn="0" w:noHBand="0" w:noVBand="1"/>
      </w:tblPr>
      <w:tblGrid>
        <w:gridCol w:w="562"/>
        <w:gridCol w:w="1560"/>
        <w:gridCol w:w="1134"/>
        <w:gridCol w:w="850"/>
        <w:gridCol w:w="992"/>
        <w:gridCol w:w="993"/>
        <w:gridCol w:w="1275"/>
        <w:gridCol w:w="1370"/>
        <w:gridCol w:w="851"/>
      </w:tblGrid>
      <w:tr w:rsidR="005A6295" w:rsidRPr="00107B76" w14:paraId="0A8FF5E7" w14:textId="77777777" w:rsidTr="00D64857">
        <w:trPr>
          <w:trHeight w:val="270"/>
        </w:trPr>
        <w:tc>
          <w:tcPr>
            <w:tcW w:w="562" w:type="dxa"/>
            <w:vMerge w:val="restart"/>
            <w:tcBorders>
              <w:left w:val="single" w:sz="4" w:space="0" w:color="auto"/>
              <w:right w:val="single" w:sz="4" w:space="0" w:color="auto"/>
            </w:tcBorders>
            <w:shd w:val="clear" w:color="auto" w:fill="E7E6E6" w:themeFill="background2"/>
            <w:vAlign w:val="center"/>
          </w:tcPr>
          <w:p w14:paraId="5E0D029B" w14:textId="71B0875A" w:rsidR="005A6295" w:rsidRPr="00107B76" w:rsidRDefault="00562A8C" w:rsidP="004C0A76">
            <w:pPr>
              <w:jc w:val="center"/>
              <w:rPr>
                <w:i/>
                <w:lang w:val="en-GB"/>
              </w:rPr>
            </w:pPr>
            <w:r w:rsidRPr="00107B76">
              <w:rPr>
                <w:i/>
                <w:iCs/>
                <w:lang w:val="en-GB"/>
              </w:rPr>
              <w:t>No.</w:t>
            </w:r>
          </w:p>
        </w:tc>
        <w:tc>
          <w:tcPr>
            <w:tcW w:w="1560" w:type="dxa"/>
            <w:vMerge w:val="restart"/>
            <w:tcBorders>
              <w:left w:val="single" w:sz="4" w:space="0" w:color="auto"/>
              <w:right w:val="single" w:sz="4" w:space="0" w:color="auto"/>
            </w:tcBorders>
            <w:shd w:val="clear" w:color="auto" w:fill="E7E6E6" w:themeFill="background2"/>
            <w:vAlign w:val="center"/>
          </w:tcPr>
          <w:p w14:paraId="3429E97F" w14:textId="1D777E75" w:rsidR="005A6295" w:rsidRPr="00107B76" w:rsidRDefault="00B31CC9" w:rsidP="004C0A76">
            <w:pPr>
              <w:jc w:val="center"/>
              <w:rPr>
                <w:i/>
                <w:lang w:val="en-GB"/>
              </w:rPr>
            </w:pPr>
            <w:r w:rsidRPr="00107B76">
              <w:rPr>
                <w:i/>
                <w:iCs/>
                <w:lang w:val="en-GB"/>
              </w:rPr>
              <w:t>Activity</w:t>
            </w:r>
          </w:p>
        </w:tc>
        <w:tc>
          <w:tcPr>
            <w:tcW w:w="1134" w:type="dxa"/>
            <w:vMerge w:val="restart"/>
            <w:tcBorders>
              <w:left w:val="single" w:sz="4" w:space="0" w:color="auto"/>
              <w:right w:val="single" w:sz="4" w:space="0" w:color="auto"/>
            </w:tcBorders>
            <w:shd w:val="clear" w:color="auto" w:fill="E7E6E6" w:themeFill="background2"/>
            <w:vAlign w:val="center"/>
          </w:tcPr>
          <w:p w14:paraId="46EF8A46" w14:textId="007E4B9F" w:rsidR="005A6295" w:rsidRPr="00107B76" w:rsidRDefault="00B31CC9" w:rsidP="004C0A76">
            <w:pPr>
              <w:jc w:val="center"/>
              <w:rPr>
                <w:i/>
                <w:lang w:val="en-GB"/>
              </w:rPr>
            </w:pPr>
            <w:r w:rsidRPr="00107B76">
              <w:rPr>
                <w:i/>
                <w:iCs/>
                <w:lang w:val="en-GB"/>
              </w:rPr>
              <w:t>Baseline intensity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379F77A" w14:textId="76681D66" w:rsidR="005A6295" w:rsidRPr="00107B76" w:rsidRDefault="00D23A84" w:rsidP="004C0A76">
            <w:pPr>
              <w:tabs>
                <w:tab w:val="left" w:pos="426"/>
              </w:tabs>
              <w:jc w:val="center"/>
              <w:rPr>
                <w:i/>
                <w:lang w:val="en-GB"/>
              </w:rPr>
            </w:pPr>
            <w:r w:rsidRPr="00107B76">
              <w:rPr>
                <w:i/>
                <w:iCs/>
                <w:lang w:val="en-GB"/>
              </w:rPr>
              <w:t>Intensity increase</w:t>
            </w:r>
            <w:r w:rsidR="00674FD0" w:rsidRPr="00107B76">
              <w:rPr>
                <w:i/>
                <w:iCs/>
                <w:lang w:val="en-GB"/>
              </w:rPr>
              <w:t xml:space="preserve">, </w:t>
            </w:r>
            <w:r w:rsidRPr="00107B76">
              <w:rPr>
                <w:i/>
                <w:iCs/>
                <w:lang w:val="en-GB"/>
              </w:rPr>
              <w:t xml:space="preserve">but no more than 80% for eligible </w:t>
            </w:r>
            <w:r w:rsidR="00AA1021" w:rsidRPr="00107B76">
              <w:rPr>
                <w:i/>
                <w:iCs/>
                <w:lang w:val="en-GB"/>
              </w:rPr>
              <w:t>expenses</w:t>
            </w:r>
          </w:p>
        </w:tc>
        <w:tc>
          <w:tcPr>
            <w:tcW w:w="349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9A1ADA9" w14:textId="422D7095" w:rsidR="005A6295" w:rsidRPr="00107B76" w:rsidRDefault="00AA1021" w:rsidP="004C0A76">
            <w:pPr>
              <w:tabs>
                <w:tab w:val="left" w:pos="426"/>
              </w:tabs>
              <w:jc w:val="center"/>
              <w:rPr>
                <w:lang w:val="en-GB"/>
              </w:rPr>
            </w:pPr>
            <w:r w:rsidRPr="00107B76">
              <w:rPr>
                <w:i/>
                <w:iCs/>
                <w:lang w:val="en-GB"/>
              </w:rPr>
              <w:t>The maximum aid intensity</w:t>
            </w:r>
            <w:r w:rsidR="00437A14" w:rsidRPr="00107B76">
              <w:rPr>
                <w:i/>
                <w:iCs/>
                <w:lang w:val="en-GB"/>
              </w:rPr>
              <w:t xml:space="preserve"> by entity size</w:t>
            </w:r>
          </w:p>
        </w:tc>
      </w:tr>
      <w:tr w:rsidR="004C0A76" w:rsidRPr="00107B76" w14:paraId="0E79FE50" w14:textId="77777777" w:rsidTr="00D64857">
        <w:trPr>
          <w:trHeight w:val="270"/>
        </w:trPr>
        <w:tc>
          <w:tcPr>
            <w:tcW w:w="562" w:type="dxa"/>
            <w:vMerge/>
            <w:tcBorders>
              <w:left w:val="single" w:sz="4" w:space="0" w:color="auto"/>
              <w:bottom w:val="single" w:sz="4" w:space="0" w:color="auto"/>
              <w:right w:val="single" w:sz="4" w:space="0" w:color="auto"/>
            </w:tcBorders>
            <w:shd w:val="clear" w:color="auto" w:fill="E7E6E6" w:themeFill="background2"/>
          </w:tcPr>
          <w:p w14:paraId="6FB5D1C9" w14:textId="713A5D8A" w:rsidR="000E6EC6" w:rsidRPr="00107B76" w:rsidRDefault="000E6EC6" w:rsidP="004C0A76">
            <w:pPr>
              <w:rPr>
                <w:i/>
                <w:lang w:val="en-GB"/>
              </w:rPr>
            </w:pPr>
          </w:p>
        </w:tc>
        <w:tc>
          <w:tcPr>
            <w:tcW w:w="1560" w:type="dxa"/>
            <w:vMerge/>
            <w:tcBorders>
              <w:left w:val="single" w:sz="4" w:space="0" w:color="auto"/>
              <w:bottom w:val="single" w:sz="4" w:space="0" w:color="auto"/>
              <w:right w:val="single" w:sz="4" w:space="0" w:color="auto"/>
            </w:tcBorders>
            <w:shd w:val="clear" w:color="auto" w:fill="E7E6E6" w:themeFill="background2"/>
            <w:vAlign w:val="center"/>
            <w:hideMark/>
          </w:tcPr>
          <w:p w14:paraId="2D3DF871" w14:textId="18F5B21B" w:rsidR="000E6EC6" w:rsidRPr="00107B76" w:rsidRDefault="000E6EC6" w:rsidP="004C0A76">
            <w:pPr>
              <w:rPr>
                <w:i/>
                <w:lang w:val="en-GB"/>
              </w:rPr>
            </w:pPr>
          </w:p>
        </w:tc>
        <w:tc>
          <w:tcPr>
            <w:tcW w:w="1134" w:type="dxa"/>
            <w:vMerge/>
            <w:tcBorders>
              <w:left w:val="single" w:sz="4" w:space="0" w:color="auto"/>
              <w:bottom w:val="single" w:sz="4" w:space="0" w:color="auto"/>
              <w:right w:val="single" w:sz="4" w:space="0" w:color="auto"/>
            </w:tcBorders>
            <w:shd w:val="clear" w:color="auto" w:fill="E7E6E6" w:themeFill="background2"/>
            <w:vAlign w:val="center"/>
            <w:hideMark/>
          </w:tcPr>
          <w:p w14:paraId="3D70DA99" w14:textId="6C92401E" w:rsidR="000E6EC6" w:rsidRPr="00107B76" w:rsidRDefault="000E6EC6" w:rsidP="004C0A76">
            <w:pPr>
              <w:jc w:val="center"/>
              <w:rPr>
                <w: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CC3276" w14:textId="4612D818" w:rsidR="00437A14" w:rsidRPr="00107B76" w:rsidRDefault="00437A14" w:rsidP="004C0A76">
            <w:pPr>
              <w:tabs>
                <w:tab w:val="left" w:pos="426"/>
              </w:tabs>
              <w:jc w:val="center"/>
              <w:rPr>
                <w:i/>
                <w:lang w:val="en-GB"/>
              </w:rPr>
            </w:pPr>
            <w:r w:rsidRPr="00107B76">
              <w:rPr>
                <w:i/>
                <w:iCs/>
                <w:lang w:val="en-GB"/>
              </w:rPr>
              <w:t>Point</w:t>
            </w:r>
          </w:p>
          <w:p w14:paraId="2D7EE75D" w14:textId="613734F6" w:rsidR="000E6EC6" w:rsidRPr="00107B76" w:rsidRDefault="00EA46FC" w:rsidP="004C0A76">
            <w:pPr>
              <w:tabs>
                <w:tab w:val="left" w:pos="426"/>
              </w:tabs>
              <w:jc w:val="center"/>
              <w:rPr>
                <w:i/>
                <w:lang w:val="en-GB"/>
              </w:rPr>
            </w:pPr>
            <w:r w:rsidRPr="00107B76">
              <w:rPr>
                <w:i/>
                <w:iCs/>
                <w:lang w:val="en-GB"/>
              </w:rPr>
              <w:t>4</w:t>
            </w:r>
            <w:r w:rsidR="004C1CDB" w:rsidRPr="00107B76">
              <w:rPr>
                <w:i/>
                <w:iCs/>
                <w:lang w:val="en-GB"/>
              </w:rPr>
              <w:t>9</w:t>
            </w:r>
            <w:r w:rsidR="003743B0" w:rsidRPr="00107B76">
              <w:rPr>
                <w:i/>
                <w:iCs/>
                <w:lang w:val="en-GB"/>
              </w:rPr>
              <w:t>.</w:t>
            </w:r>
            <w:r w:rsidR="000E6EC6" w:rsidRPr="00107B76">
              <w:rPr>
                <w:i/>
                <w:iCs/>
                <w:lang w:val="en-GB"/>
              </w:rPr>
              <w:t xml:space="preserve">1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2BCE8D" w14:textId="18BED733" w:rsidR="00437A14" w:rsidRPr="00107B76" w:rsidRDefault="00437A14" w:rsidP="00437A14">
            <w:pPr>
              <w:tabs>
                <w:tab w:val="left" w:pos="426"/>
              </w:tabs>
              <w:jc w:val="center"/>
              <w:rPr>
                <w:i/>
                <w:lang w:val="en-GB"/>
              </w:rPr>
            </w:pPr>
            <w:r w:rsidRPr="00107B76">
              <w:rPr>
                <w:i/>
                <w:iCs/>
                <w:lang w:val="en-GB"/>
              </w:rPr>
              <w:t>Point</w:t>
            </w:r>
          </w:p>
          <w:p w14:paraId="787EB512" w14:textId="3F438F57" w:rsidR="000E6EC6" w:rsidRPr="00107B76" w:rsidRDefault="00EA46FC" w:rsidP="004C0A76">
            <w:pPr>
              <w:tabs>
                <w:tab w:val="left" w:pos="426"/>
              </w:tabs>
              <w:jc w:val="center"/>
              <w:rPr>
                <w:i/>
                <w:lang w:val="en-GB"/>
              </w:rPr>
            </w:pPr>
            <w:r w:rsidRPr="00107B76">
              <w:rPr>
                <w:i/>
                <w:lang w:val="en-GB"/>
              </w:rPr>
              <w:t>4</w:t>
            </w:r>
            <w:r w:rsidR="004C1CDB" w:rsidRPr="00107B76">
              <w:rPr>
                <w:i/>
                <w:lang w:val="en-GB"/>
              </w:rPr>
              <w:t>9</w:t>
            </w:r>
            <w:r w:rsidR="003743B0" w:rsidRPr="00107B76">
              <w:rPr>
                <w:i/>
                <w:lang w:val="en-GB"/>
              </w:rPr>
              <w:t>.2</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526F7B" w14:textId="6B48790F" w:rsidR="00437A14" w:rsidRPr="00107B76" w:rsidRDefault="00437A14" w:rsidP="00437A14">
            <w:pPr>
              <w:tabs>
                <w:tab w:val="left" w:pos="426"/>
              </w:tabs>
              <w:jc w:val="center"/>
              <w:rPr>
                <w:i/>
                <w:lang w:val="en-GB"/>
              </w:rPr>
            </w:pPr>
            <w:r w:rsidRPr="00107B76">
              <w:rPr>
                <w:i/>
                <w:iCs/>
                <w:lang w:val="en-GB"/>
              </w:rPr>
              <w:t>Point</w:t>
            </w:r>
          </w:p>
          <w:p w14:paraId="2FF56F06" w14:textId="07E9EFB2" w:rsidR="000E6EC6" w:rsidRPr="00107B76" w:rsidRDefault="00EA46FC" w:rsidP="004C0A76">
            <w:pPr>
              <w:tabs>
                <w:tab w:val="left" w:pos="426"/>
              </w:tabs>
              <w:jc w:val="center"/>
              <w:rPr>
                <w:i/>
                <w:lang w:val="en-GB"/>
              </w:rPr>
            </w:pPr>
            <w:r w:rsidRPr="00107B76">
              <w:rPr>
                <w:i/>
                <w:lang w:val="en-GB"/>
              </w:rPr>
              <w:t>4</w:t>
            </w:r>
            <w:r w:rsidR="004C1CDB" w:rsidRPr="00107B76">
              <w:rPr>
                <w:i/>
                <w:lang w:val="en-GB"/>
              </w:rPr>
              <w:t>9</w:t>
            </w:r>
            <w:r w:rsidR="003743B0" w:rsidRPr="00107B76">
              <w:rPr>
                <w:i/>
                <w:lang w:val="en-GB"/>
              </w:rPr>
              <w:t>.</w:t>
            </w:r>
            <w:r w:rsidR="000E6EC6" w:rsidRPr="00107B76">
              <w:rPr>
                <w:i/>
                <w:lang w:val="en-GB"/>
              </w:rPr>
              <w:t>3</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B0F9D7" w14:textId="01E7B6E4" w:rsidR="000E6EC6" w:rsidRPr="00107B76" w:rsidRDefault="00437A14" w:rsidP="004C0A76">
            <w:pPr>
              <w:tabs>
                <w:tab w:val="left" w:pos="426"/>
              </w:tabs>
              <w:jc w:val="center"/>
              <w:rPr>
                <w:i/>
                <w:lang w:val="en-GB"/>
              </w:rPr>
            </w:pPr>
            <w:r w:rsidRPr="00107B76">
              <w:rPr>
                <w:i/>
                <w:iCs/>
                <w:lang w:val="en-GB"/>
              </w:rPr>
              <w:t>Large enterprise</w:t>
            </w:r>
          </w:p>
        </w:tc>
        <w:tc>
          <w:tcPr>
            <w:tcW w:w="1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6DA3F2" w14:textId="59A01D69" w:rsidR="000E6EC6" w:rsidRPr="00107B76" w:rsidRDefault="00437A14" w:rsidP="004C0A76">
            <w:pPr>
              <w:tabs>
                <w:tab w:val="left" w:pos="426"/>
              </w:tabs>
              <w:jc w:val="center"/>
              <w:rPr>
                <w:i/>
                <w:lang w:val="en-GB"/>
              </w:rPr>
            </w:pPr>
            <w:r w:rsidRPr="00107B76">
              <w:rPr>
                <w:i/>
                <w:iCs/>
                <w:lang w:val="en-GB"/>
              </w:rPr>
              <w:t>Medium-sized</w:t>
            </w:r>
            <w:r w:rsidR="00571AC0" w:rsidRPr="00107B76">
              <w:rPr>
                <w:i/>
                <w:iCs/>
                <w:lang w:val="en-GB"/>
              </w:rPr>
              <w:t xml:space="preserve"> enterprise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EE4D3E" w14:textId="77777777" w:rsidR="000E6EC6" w:rsidRPr="00107B76" w:rsidRDefault="00441CFB" w:rsidP="004C0A76">
            <w:pPr>
              <w:tabs>
                <w:tab w:val="left" w:pos="426"/>
              </w:tabs>
              <w:jc w:val="center"/>
              <w:rPr>
                <w:i/>
                <w:iCs/>
                <w:lang w:val="en-GB"/>
              </w:rPr>
            </w:pPr>
            <w:r w:rsidRPr="00107B76">
              <w:rPr>
                <w:i/>
                <w:iCs/>
                <w:lang w:val="en-GB"/>
              </w:rPr>
              <w:t>Small</w:t>
            </w:r>
          </w:p>
          <w:p w14:paraId="063731B1" w14:textId="69830266" w:rsidR="00497DFE" w:rsidRPr="00107B76" w:rsidRDefault="0005530B" w:rsidP="004C0A76">
            <w:pPr>
              <w:tabs>
                <w:tab w:val="left" w:pos="426"/>
              </w:tabs>
              <w:jc w:val="center"/>
              <w:rPr>
                <w:i/>
                <w:lang w:val="en-GB"/>
              </w:rPr>
            </w:pPr>
            <w:r w:rsidRPr="00107B76">
              <w:rPr>
                <w:i/>
                <w:iCs/>
                <w:lang w:val="en-GB"/>
              </w:rPr>
              <w:t>enterprise</w:t>
            </w:r>
          </w:p>
        </w:tc>
      </w:tr>
      <w:tr w:rsidR="003B23FA" w:rsidRPr="00107B76" w14:paraId="10D8A83B" w14:textId="77777777" w:rsidTr="00D64857">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791E0093" w14:textId="77777777" w:rsidR="0021214D" w:rsidRPr="00107B76" w:rsidRDefault="0021214D" w:rsidP="004C0A76">
            <w:pPr>
              <w:tabs>
                <w:tab w:val="left" w:pos="426"/>
              </w:tabs>
              <w:jc w:val="both"/>
              <w:rPr>
                <w:i/>
                <w:lang w:val="en-GB"/>
              </w:rPr>
            </w:pPr>
            <w:bookmarkStart w:id="7" w:name="_Hlk22220851"/>
            <w:r w:rsidRPr="00107B76">
              <w:rPr>
                <w:i/>
                <w:iCs/>
                <w:lang w:val="en-GB"/>
              </w:rPr>
              <w:t>1.</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8D5846" w14:textId="77777777" w:rsidR="0021214D" w:rsidRPr="00107B76" w:rsidRDefault="00441CFB" w:rsidP="004C0A76">
            <w:pPr>
              <w:rPr>
                <w:i/>
                <w:iCs/>
                <w:color w:val="000000"/>
                <w:lang w:val="en-GB"/>
              </w:rPr>
            </w:pPr>
            <w:r w:rsidRPr="00107B76">
              <w:rPr>
                <w:i/>
                <w:iCs/>
                <w:color w:val="000000"/>
                <w:lang w:val="en-GB"/>
              </w:rPr>
              <w:t xml:space="preserve">Industrial </w:t>
            </w:r>
          </w:p>
          <w:p w14:paraId="0F090C7A" w14:textId="5099E2F1" w:rsidR="00441CFB" w:rsidRPr="00107B76" w:rsidRDefault="00441CFB" w:rsidP="004C0A76">
            <w:pPr>
              <w:rPr>
                <w:lang w:val="en-GB"/>
              </w:rPr>
            </w:pPr>
            <w:r w:rsidRPr="00107B76">
              <w:rPr>
                <w:i/>
                <w:iCs/>
                <w:color w:val="000000"/>
                <w:lang w:val="en-GB"/>
              </w:rPr>
              <w:t>research</w:t>
            </w:r>
          </w:p>
        </w:tc>
        <w:tc>
          <w:tcPr>
            <w:tcW w:w="1134" w:type="dxa"/>
            <w:tcBorders>
              <w:top w:val="single" w:sz="4" w:space="0" w:color="auto"/>
              <w:left w:val="single" w:sz="4" w:space="0" w:color="auto"/>
              <w:bottom w:val="single" w:sz="4" w:space="0" w:color="auto"/>
              <w:right w:val="single" w:sz="4" w:space="0" w:color="auto"/>
            </w:tcBorders>
            <w:hideMark/>
          </w:tcPr>
          <w:p w14:paraId="69306E92" w14:textId="261EE0AB" w:rsidR="0021214D" w:rsidRPr="00107B76" w:rsidRDefault="0021214D" w:rsidP="004C0A76">
            <w:pPr>
              <w:tabs>
                <w:tab w:val="left" w:pos="426"/>
              </w:tabs>
              <w:jc w:val="both"/>
              <w:rPr>
                <w:lang w:val="en-GB"/>
              </w:rPr>
            </w:pPr>
            <w:r w:rsidRPr="00107B76">
              <w:rPr>
                <w:lang w:val="en-GB"/>
              </w:rPr>
              <w:t>50</w:t>
            </w:r>
            <w:r w:rsidR="00D16E88" w:rsidRPr="00107B76">
              <w:rPr>
                <w:lang w:val="en-GB"/>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20ED778" w14:textId="610A78CF" w:rsidR="0021214D" w:rsidRPr="00107B76" w:rsidRDefault="00473FF2" w:rsidP="004C0A76">
            <w:pPr>
              <w:rPr>
                <w:i/>
                <w:lang w:val="en-GB"/>
              </w:rPr>
            </w:pPr>
            <w:r w:rsidRPr="00107B76">
              <w:rPr>
                <w:lang w:val="en-GB"/>
              </w:rPr>
              <w:t>+10</w:t>
            </w:r>
          </w:p>
        </w:tc>
        <w:tc>
          <w:tcPr>
            <w:tcW w:w="992" w:type="dxa"/>
            <w:tcBorders>
              <w:top w:val="single" w:sz="4" w:space="0" w:color="auto"/>
              <w:left w:val="single" w:sz="4" w:space="0" w:color="auto"/>
              <w:bottom w:val="single" w:sz="4" w:space="0" w:color="auto"/>
              <w:right w:val="single" w:sz="4" w:space="0" w:color="auto"/>
            </w:tcBorders>
            <w:hideMark/>
          </w:tcPr>
          <w:p w14:paraId="0E6CD6D0" w14:textId="6F759E2B" w:rsidR="0021214D" w:rsidRPr="00107B76" w:rsidRDefault="00473FF2" w:rsidP="004C0A76">
            <w:pPr>
              <w:rPr>
                <w:i/>
                <w:lang w:val="en-GB"/>
              </w:rPr>
            </w:pPr>
            <w:r w:rsidRPr="00107B76">
              <w:rPr>
                <w:lang w:val="en-GB"/>
              </w:rPr>
              <w:t>+20</w:t>
            </w:r>
          </w:p>
        </w:tc>
        <w:tc>
          <w:tcPr>
            <w:tcW w:w="993" w:type="dxa"/>
            <w:tcBorders>
              <w:top w:val="single" w:sz="4" w:space="0" w:color="auto"/>
              <w:left w:val="single" w:sz="4" w:space="0" w:color="auto"/>
              <w:bottom w:val="single" w:sz="4" w:space="0" w:color="auto"/>
              <w:right w:val="single" w:sz="4" w:space="0" w:color="auto"/>
            </w:tcBorders>
            <w:hideMark/>
          </w:tcPr>
          <w:p w14:paraId="0079903B" w14:textId="0D1BC155" w:rsidR="0021214D" w:rsidRPr="00107B76" w:rsidRDefault="00473FF2" w:rsidP="004C0A76">
            <w:pPr>
              <w:rPr>
                <w:i/>
                <w:lang w:val="en-GB"/>
              </w:rPr>
            </w:pPr>
            <w:r w:rsidRPr="00107B76">
              <w:rPr>
                <w:lang w:val="en-GB"/>
              </w:rPr>
              <w:t>+</w:t>
            </w:r>
            <w:r w:rsidR="0021214D" w:rsidRPr="00107B76">
              <w:rPr>
                <w:lang w:val="en-GB"/>
              </w:rPr>
              <w:t xml:space="preserve">15 </w:t>
            </w:r>
          </w:p>
        </w:tc>
        <w:tc>
          <w:tcPr>
            <w:tcW w:w="1275" w:type="dxa"/>
            <w:tcBorders>
              <w:top w:val="single" w:sz="4" w:space="0" w:color="auto"/>
              <w:left w:val="single" w:sz="4" w:space="0" w:color="auto"/>
              <w:bottom w:val="single" w:sz="4" w:space="0" w:color="auto"/>
              <w:right w:val="single" w:sz="4" w:space="0" w:color="auto"/>
            </w:tcBorders>
            <w:hideMark/>
          </w:tcPr>
          <w:p w14:paraId="529EE76C" w14:textId="388013D0" w:rsidR="0021214D" w:rsidRPr="00107B76" w:rsidRDefault="0021214D" w:rsidP="004C0A76">
            <w:pPr>
              <w:tabs>
                <w:tab w:val="left" w:pos="426"/>
              </w:tabs>
              <w:jc w:val="both"/>
              <w:rPr>
                <w:lang w:val="en-GB"/>
              </w:rPr>
            </w:pPr>
            <w:r w:rsidRPr="00107B76">
              <w:rPr>
                <w:lang w:val="en-GB"/>
              </w:rPr>
              <w:t xml:space="preserve">65 </w:t>
            </w:r>
            <w:r w:rsidR="00473FF2" w:rsidRPr="00107B76">
              <w:rPr>
                <w:lang w:val="en-GB"/>
              </w:rPr>
              <w:t>%</w:t>
            </w:r>
          </w:p>
        </w:tc>
        <w:tc>
          <w:tcPr>
            <w:tcW w:w="1370" w:type="dxa"/>
            <w:tcBorders>
              <w:top w:val="single" w:sz="4" w:space="0" w:color="auto"/>
              <w:left w:val="single" w:sz="4" w:space="0" w:color="auto"/>
              <w:bottom w:val="single" w:sz="4" w:space="0" w:color="auto"/>
              <w:right w:val="single" w:sz="4" w:space="0" w:color="auto"/>
            </w:tcBorders>
            <w:hideMark/>
          </w:tcPr>
          <w:p w14:paraId="3520F8B9" w14:textId="6319B79E" w:rsidR="0021214D" w:rsidRPr="00107B76" w:rsidRDefault="0021214D" w:rsidP="004C0A76">
            <w:pPr>
              <w:tabs>
                <w:tab w:val="left" w:pos="426"/>
              </w:tabs>
              <w:jc w:val="both"/>
              <w:rPr>
                <w:lang w:val="en-GB"/>
              </w:rPr>
            </w:pPr>
            <w:r w:rsidRPr="00107B76">
              <w:rPr>
                <w:lang w:val="en-GB"/>
              </w:rPr>
              <w:t xml:space="preserve">75 </w:t>
            </w:r>
            <w:r w:rsidR="00473FF2" w:rsidRPr="00107B76">
              <w:rPr>
                <w:lang w:val="en-GB"/>
              </w:rPr>
              <w:t>%</w:t>
            </w:r>
          </w:p>
        </w:tc>
        <w:tc>
          <w:tcPr>
            <w:tcW w:w="851" w:type="dxa"/>
            <w:tcBorders>
              <w:top w:val="single" w:sz="4" w:space="0" w:color="auto"/>
              <w:left w:val="single" w:sz="4" w:space="0" w:color="auto"/>
              <w:bottom w:val="single" w:sz="4" w:space="0" w:color="auto"/>
              <w:right w:val="single" w:sz="4" w:space="0" w:color="auto"/>
            </w:tcBorders>
            <w:hideMark/>
          </w:tcPr>
          <w:p w14:paraId="4CF29205" w14:textId="3CEFE3C3" w:rsidR="0021214D" w:rsidRPr="00107B76" w:rsidRDefault="0021214D" w:rsidP="004C0A76">
            <w:pPr>
              <w:tabs>
                <w:tab w:val="left" w:pos="426"/>
              </w:tabs>
              <w:jc w:val="both"/>
              <w:rPr>
                <w:lang w:val="en-GB"/>
              </w:rPr>
            </w:pPr>
            <w:r w:rsidRPr="00107B76">
              <w:rPr>
                <w:lang w:val="en-GB"/>
              </w:rPr>
              <w:t xml:space="preserve">80 </w:t>
            </w:r>
            <w:r w:rsidR="00473FF2" w:rsidRPr="00107B76">
              <w:rPr>
                <w:lang w:val="en-GB"/>
              </w:rPr>
              <w:t>%</w:t>
            </w:r>
          </w:p>
        </w:tc>
      </w:tr>
      <w:tr w:rsidR="003B23FA" w:rsidRPr="00107B76" w14:paraId="03D3181F" w14:textId="77777777" w:rsidTr="00D64857">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tcPr>
          <w:p w14:paraId="62BA8DD0" w14:textId="77777777" w:rsidR="0021214D" w:rsidRPr="00107B76" w:rsidRDefault="0021214D" w:rsidP="004C0A76">
            <w:pPr>
              <w:tabs>
                <w:tab w:val="left" w:pos="426"/>
              </w:tabs>
              <w:jc w:val="both"/>
              <w:rPr>
                <w:i/>
                <w:lang w:val="en-GB"/>
              </w:rPr>
            </w:pPr>
            <w:r w:rsidRPr="00107B76">
              <w:rPr>
                <w:i/>
                <w:iCs/>
                <w:lang w:val="en-GB"/>
              </w:rPr>
              <w:t>2.</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191CEB" w14:textId="7E7FA643" w:rsidR="00674FD0" w:rsidRPr="00107B76" w:rsidRDefault="00441CFB" w:rsidP="004C0A76">
            <w:pPr>
              <w:rPr>
                <w:i/>
                <w:iCs/>
                <w:color w:val="000000"/>
                <w:lang w:val="en-GB"/>
              </w:rPr>
            </w:pPr>
            <w:r w:rsidRPr="00107B76">
              <w:rPr>
                <w:i/>
                <w:iCs/>
                <w:color w:val="000000"/>
                <w:lang w:val="en-GB"/>
              </w:rPr>
              <w:t>Experimental</w:t>
            </w:r>
          </w:p>
          <w:p w14:paraId="021A5241" w14:textId="5F138B5A" w:rsidR="00441CFB" w:rsidRPr="00107B76" w:rsidRDefault="00441CFB" w:rsidP="004C0A76">
            <w:pPr>
              <w:rPr>
                <w:lang w:val="en-GB"/>
              </w:rPr>
            </w:pPr>
            <w:r w:rsidRPr="00107B76">
              <w:rPr>
                <w:i/>
                <w:iCs/>
                <w:color w:val="000000"/>
                <w:lang w:val="en-GB"/>
              </w:rPr>
              <w:t>development</w:t>
            </w:r>
          </w:p>
          <w:p w14:paraId="29DF4F1D" w14:textId="62028F8A" w:rsidR="0021214D" w:rsidRPr="00107B76" w:rsidRDefault="0021214D" w:rsidP="004C0A76">
            <w:pPr>
              <w:tabs>
                <w:tab w:val="left" w:pos="426"/>
              </w:tabs>
              <w:jc w:val="both"/>
              <w:rPr>
                <w:i/>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76EACA3F" w14:textId="1435DA15" w:rsidR="0021214D" w:rsidRPr="00107B76" w:rsidRDefault="0021214D" w:rsidP="004C0A76">
            <w:pPr>
              <w:tabs>
                <w:tab w:val="left" w:pos="426"/>
              </w:tabs>
              <w:jc w:val="both"/>
              <w:rPr>
                <w:lang w:val="en-GB"/>
              </w:rPr>
            </w:pPr>
            <w:r w:rsidRPr="00107B76">
              <w:rPr>
                <w:lang w:val="en-GB"/>
              </w:rPr>
              <w:t xml:space="preserve">25 </w:t>
            </w:r>
            <w:r w:rsidR="00473FF2" w:rsidRPr="00107B76">
              <w:rPr>
                <w:lang w:val="en-GB"/>
              </w:rPr>
              <w:t>%</w:t>
            </w:r>
          </w:p>
        </w:tc>
        <w:tc>
          <w:tcPr>
            <w:tcW w:w="850" w:type="dxa"/>
            <w:tcBorders>
              <w:top w:val="single" w:sz="4" w:space="0" w:color="auto"/>
              <w:left w:val="single" w:sz="4" w:space="0" w:color="auto"/>
              <w:bottom w:val="single" w:sz="4" w:space="0" w:color="auto"/>
              <w:right w:val="single" w:sz="4" w:space="0" w:color="auto"/>
            </w:tcBorders>
            <w:hideMark/>
          </w:tcPr>
          <w:p w14:paraId="285DD45D" w14:textId="5B1C4844" w:rsidR="0021214D" w:rsidRPr="00107B76" w:rsidRDefault="00473FF2" w:rsidP="004C0A76">
            <w:pPr>
              <w:tabs>
                <w:tab w:val="left" w:pos="426"/>
              </w:tabs>
              <w:jc w:val="both"/>
              <w:rPr>
                <w:lang w:val="en-GB"/>
              </w:rPr>
            </w:pPr>
            <w:r w:rsidRPr="00107B76">
              <w:rPr>
                <w:lang w:val="en-GB"/>
              </w:rPr>
              <w:t>+</w:t>
            </w:r>
            <w:r w:rsidR="0021214D" w:rsidRPr="00107B76">
              <w:rPr>
                <w:lang w:val="en-GB"/>
              </w:rPr>
              <w:t xml:space="preserve">10 </w:t>
            </w:r>
          </w:p>
        </w:tc>
        <w:tc>
          <w:tcPr>
            <w:tcW w:w="992" w:type="dxa"/>
            <w:tcBorders>
              <w:top w:val="single" w:sz="4" w:space="0" w:color="auto"/>
              <w:left w:val="single" w:sz="4" w:space="0" w:color="auto"/>
              <w:bottom w:val="single" w:sz="4" w:space="0" w:color="auto"/>
              <w:right w:val="single" w:sz="4" w:space="0" w:color="auto"/>
            </w:tcBorders>
            <w:hideMark/>
          </w:tcPr>
          <w:p w14:paraId="32A8C8D4" w14:textId="1409431A" w:rsidR="0021214D" w:rsidRPr="00107B76" w:rsidRDefault="004C1CDB" w:rsidP="004C0A76">
            <w:pPr>
              <w:tabs>
                <w:tab w:val="left" w:pos="426"/>
              </w:tabs>
              <w:jc w:val="both"/>
              <w:rPr>
                <w:lang w:val="en-GB"/>
              </w:rPr>
            </w:pPr>
            <w:r w:rsidRPr="00107B76">
              <w:rPr>
                <w:lang w:val="en-GB"/>
              </w:rPr>
              <w:t>+</w:t>
            </w:r>
            <w:r w:rsidR="0021214D" w:rsidRPr="00107B76">
              <w:rPr>
                <w:lang w:val="en-GB"/>
              </w:rPr>
              <w:t xml:space="preserve">20 </w:t>
            </w:r>
          </w:p>
        </w:tc>
        <w:tc>
          <w:tcPr>
            <w:tcW w:w="993" w:type="dxa"/>
            <w:tcBorders>
              <w:top w:val="single" w:sz="4" w:space="0" w:color="auto"/>
              <w:left w:val="single" w:sz="4" w:space="0" w:color="auto"/>
              <w:bottom w:val="single" w:sz="4" w:space="0" w:color="auto"/>
              <w:right w:val="single" w:sz="4" w:space="0" w:color="auto"/>
            </w:tcBorders>
            <w:hideMark/>
          </w:tcPr>
          <w:p w14:paraId="102D4D14" w14:textId="425FF71D" w:rsidR="0021214D" w:rsidRPr="00107B76" w:rsidRDefault="004C1CDB" w:rsidP="004C0A76">
            <w:pPr>
              <w:tabs>
                <w:tab w:val="left" w:pos="426"/>
              </w:tabs>
              <w:jc w:val="both"/>
              <w:rPr>
                <w:lang w:val="en-GB"/>
              </w:rPr>
            </w:pPr>
            <w:r w:rsidRPr="00107B76">
              <w:rPr>
                <w:lang w:val="en-GB"/>
              </w:rPr>
              <w:t>+</w:t>
            </w:r>
            <w:r w:rsidR="0021214D" w:rsidRPr="00107B76">
              <w:rPr>
                <w:lang w:val="en-GB"/>
              </w:rPr>
              <w:t xml:space="preserve">15 </w:t>
            </w:r>
          </w:p>
        </w:tc>
        <w:tc>
          <w:tcPr>
            <w:tcW w:w="1275" w:type="dxa"/>
            <w:tcBorders>
              <w:top w:val="single" w:sz="4" w:space="0" w:color="auto"/>
              <w:left w:val="single" w:sz="4" w:space="0" w:color="auto"/>
              <w:bottom w:val="single" w:sz="4" w:space="0" w:color="auto"/>
              <w:right w:val="single" w:sz="4" w:space="0" w:color="auto"/>
            </w:tcBorders>
            <w:hideMark/>
          </w:tcPr>
          <w:p w14:paraId="34F2A67F" w14:textId="1737E214" w:rsidR="0021214D" w:rsidRPr="00107B76" w:rsidRDefault="0021214D" w:rsidP="004C0A76">
            <w:pPr>
              <w:tabs>
                <w:tab w:val="left" w:pos="426"/>
              </w:tabs>
              <w:jc w:val="both"/>
              <w:rPr>
                <w:lang w:val="en-GB"/>
              </w:rPr>
            </w:pPr>
            <w:r w:rsidRPr="00107B76">
              <w:rPr>
                <w:lang w:val="en-GB"/>
              </w:rPr>
              <w:t xml:space="preserve">40 </w:t>
            </w:r>
            <w:r w:rsidR="00473FF2" w:rsidRPr="00107B76">
              <w:rPr>
                <w:lang w:val="en-GB"/>
              </w:rPr>
              <w:t>%</w:t>
            </w:r>
          </w:p>
        </w:tc>
        <w:tc>
          <w:tcPr>
            <w:tcW w:w="1370" w:type="dxa"/>
            <w:tcBorders>
              <w:top w:val="single" w:sz="4" w:space="0" w:color="auto"/>
              <w:left w:val="single" w:sz="4" w:space="0" w:color="auto"/>
              <w:bottom w:val="single" w:sz="4" w:space="0" w:color="auto"/>
              <w:right w:val="single" w:sz="4" w:space="0" w:color="auto"/>
            </w:tcBorders>
            <w:hideMark/>
          </w:tcPr>
          <w:p w14:paraId="5BEA32BF" w14:textId="3CC9B51E" w:rsidR="0021214D" w:rsidRPr="00107B76" w:rsidRDefault="0021214D" w:rsidP="004C0A76">
            <w:pPr>
              <w:tabs>
                <w:tab w:val="left" w:pos="426"/>
              </w:tabs>
              <w:jc w:val="both"/>
              <w:rPr>
                <w:lang w:val="en-GB"/>
              </w:rPr>
            </w:pPr>
            <w:r w:rsidRPr="00107B76">
              <w:rPr>
                <w:lang w:val="en-GB"/>
              </w:rPr>
              <w:t xml:space="preserve">50 </w:t>
            </w:r>
            <w:r w:rsidR="00473FF2" w:rsidRPr="00107B76">
              <w:rPr>
                <w:lang w:val="en-GB"/>
              </w:rPr>
              <w:t>%</w:t>
            </w:r>
          </w:p>
        </w:tc>
        <w:tc>
          <w:tcPr>
            <w:tcW w:w="851" w:type="dxa"/>
            <w:tcBorders>
              <w:top w:val="single" w:sz="4" w:space="0" w:color="auto"/>
              <w:left w:val="single" w:sz="4" w:space="0" w:color="auto"/>
              <w:bottom w:val="single" w:sz="4" w:space="0" w:color="auto"/>
              <w:right w:val="single" w:sz="4" w:space="0" w:color="auto"/>
            </w:tcBorders>
            <w:hideMark/>
          </w:tcPr>
          <w:p w14:paraId="42A9B6B5" w14:textId="6D777A54" w:rsidR="0021214D" w:rsidRPr="00107B76" w:rsidRDefault="005A6295" w:rsidP="006B2593">
            <w:pPr>
              <w:pStyle w:val="ListParagraph"/>
              <w:numPr>
                <w:ilvl w:val="0"/>
                <w:numId w:val="4"/>
              </w:numPr>
              <w:tabs>
                <w:tab w:val="left" w:pos="317"/>
                <w:tab w:val="left" w:pos="459"/>
              </w:tabs>
              <w:ind w:left="69" w:hanging="35"/>
              <w:rPr>
                <w:lang w:val="en-GB"/>
              </w:rPr>
            </w:pPr>
            <w:r w:rsidRPr="00107B76">
              <w:rPr>
                <w:lang w:val="en-GB"/>
              </w:rPr>
              <w:t>%</w:t>
            </w:r>
          </w:p>
        </w:tc>
      </w:tr>
      <w:bookmarkEnd w:id="7"/>
    </w:tbl>
    <w:p w14:paraId="399F505F" w14:textId="5C066FF4" w:rsidR="00783071" w:rsidRPr="00107B76" w:rsidRDefault="00783071" w:rsidP="004C0A76">
      <w:pPr>
        <w:jc w:val="both"/>
        <w:rPr>
          <w:lang w:val="en-GB"/>
        </w:rPr>
      </w:pPr>
    </w:p>
    <w:p w14:paraId="4FE4A118" w14:textId="17AF73DF" w:rsidR="0034207A" w:rsidRPr="00107B76" w:rsidRDefault="006C6373" w:rsidP="00AD73C5">
      <w:pPr>
        <w:pStyle w:val="ListParagraph"/>
        <w:numPr>
          <w:ilvl w:val="0"/>
          <w:numId w:val="3"/>
        </w:numPr>
        <w:tabs>
          <w:tab w:val="left" w:pos="1134"/>
          <w:tab w:val="left" w:pos="1276"/>
        </w:tabs>
        <w:ind w:left="0" w:firstLine="709"/>
        <w:contextualSpacing w:val="0"/>
        <w:jc w:val="both"/>
        <w:rPr>
          <w:lang w:val="en-GB"/>
        </w:rPr>
      </w:pPr>
      <w:r w:rsidRPr="00107B76">
        <w:rPr>
          <w:lang w:val="en-GB"/>
        </w:rPr>
        <w:t>If a project is implemented together with a research organisation, the maximum grant rate for a research organisation can constitute 100 % of eligible expenditure for the activities specified in subchapters 13.1 and 13.2 of the Call on the condition that a partner is engaged in non-economic activities, conducts research activities independently, effectively collaborates, and all the profits are reinvested into research.  A research organisation has to submit the following:</w:t>
      </w:r>
    </w:p>
    <w:p w14:paraId="202CD0A7" w14:textId="65DDDEFD" w:rsidR="0034207A" w:rsidRPr="00107B76" w:rsidRDefault="006C6373" w:rsidP="00AD73C5">
      <w:pPr>
        <w:pStyle w:val="ListParagraph"/>
        <w:numPr>
          <w:ilvl w:val="1"/>
          <w:numId w:val="3"/>
        </w:numPr>
        <w:ind w:left="0" w:firstLine="709"/>
        <w:contextualSpacing w:val="0"/>
        <w:jc w:val="both"/>
        <w:rPr>
          <w:lang w:val="en-GB"/>
        </w:rPr>
      </w:pPr>
      <w:r w:rsidRPr="00107B76">
        <w:rPr>
          <w:lang w:val="en-GB"/>
        </w:rPr>
        <w:t>supporting documents for separation of economic and non-economic activities in an organisation (this condition is not applicable to a private legal person engaged in economic activities) and justification of reinvestment into research infrastructure</w:t>
      </w:r>
      <w:r w:rsidR="003200DA" w:rsidRPr="00107B76">
        <w:rPr>
          <w:lang w:val="en-GB"/>
        </w:rPr>
        <w:t>;</w:t>
      </w:r>
    </w:p>
    <w:p w14:paraId="38B4C984" w14:textId="742F082C" w:rsidR="006959FD" w:rsidRPr="00107B76" w:rsidRDefault="006C6373" w:rsidP="00AD73C5">
      <w:pPr>
        <w:pStyle w:val="ListParagraph"/>
        <w:numPr>
          <w:ilvl w:val="1"/>
          <w:numId w:val="3"/>
        </w:numPr>
        <w:tabs>
          <w:tab w:val="left" w:pos="1134"/>
        </w:tabs>
        <w:ind w:left="0" w:firstLine="709"/>
        <w:contextualSpacing w:val="0"/>
        <w:jc w:val="both"/>
        <w:rPr>
          <w:lang w:val="en-GB"/>
        </w:rPr>
      </w:pPr>
      <w:r w:rsidRPr="00107B76">
        <w:rPr>
          <w:lang w:val="en-GB"/>
        </w:rPr>
        <w:t>prepared in a free form justification of independently conducted research and effective collaboration planned during implementation of a project</w:t>
      </w:r>
      <w:r w:rsidR="003200DA" w:rsidRPr="00107B76">
        <w:rPr>
          <w:lang w:val="en-GB"/>
        </w:rPr>
        <w:t>.</w:t>
      </w:r>
    </w:p>
    <w:p w14:paraId="6C6E04D1" w14:textId="313C28DD" w:rsidR="00E32959" w:rsidRPr="00107B76" w:rsidRDefault="006C6373" w:rsidP="00AD73C5">
      <w:pPr>
        <w:pStyle w:val="ListParagraph"/>
        <w:numPr>
          <w:ilvl w:val="0"/>
          <w:numId w:val="3"/>
        </w:numPr>
        <w:tabs>
          <w:tab w:val="left" w:pos="1134"/>
        </w:tabs>
        <w:ind w:left="0" w:firstLine="709"/>
        <w:contextualSpacing w:val="0"/>
        <w:jc w:val="both"/>
        <w:rPr>
          <w:color w:val="000000"/>
          <w:lang w:val="en-GB"/>
        </w:rPr>
      </w:pPr>
      <w:r w:rsidRPr="00107B76">
        <w:rPr>
          <w:lang w:val="en-GB"/>
        </w:rPr>
        <w:lastRenderedPageBreak/>
        <w:t>If a project is implemented together with a research organisation, it is considered that no indirect State aid is awarded to other legal persons participating in a project through a research institution, if one of the following conditions is observed:</w:t>
      </w:r>
    </w:p>
    <w:p w14:paraId="012F2689" w14:textId="77777777" w:rsidR="006C6373" w:rsidRPr="00107B76" w:rsidRDefault="006C6373" w:rsidP="00AD73C5">
      <w:pPr>
        <w:pStyle w:val="ListParagraph"/>
        <w:numPr>
          <w:ilvl w:val="1"/>
          <w:numId w:val="3"/>
        </w:numPr>
        <w:tabs>
          <w:tab w:val="left" w:pos="1134"/>
        </w:tabs>
        <w:ind w:left="0" w:firstLine="709"/>
        <w:contextualSpacing w:val="0"/>
        <w:jc w:val="both"/>
        <w:rPr>
          <w:lang w:val="en-GB"/>
        </w:rPr>
      </w:pPr>
      <w:r w:rsidRPr="00107B76">
        <w:rPr>
          <w:lang w:val="en-GB"/>
        </w:rPr>
        <w:t>the results of the collaboration which do not give rise to IPR may be widely disseminated and any IPR resulting from the activities of research organisations or research infrastructures are fully allocated to research organisations;</w:t>
      </w:r>
    </w:p>
    <w:p w14:paraId="62D57287" w14:textId="28668CAA" w:rsidR="00E32959" w:rsidRPr="00107B76" w:rsidRDefault="006C6373" w:rsidP="00AD73C5">
      <w:pPr>
        <w:pStyle w:val="ListParagraph"/>
        <w:numPr>
          <w:ilvl w:val="1"/>
          <w:numId w:val="3"/>
        </w:numPr>
        <w:tabs>
          <w:tab w:val="left" w:pos="1134"/>
        </w:tabs>
        <w:ind w:left="0" w:firstLine="709"/>
        <w:contextualSpacing w:val="0"/>
        <w:jc w:val="both"/>
        <w:rPr>
          <w:lang w:val="en-GB"/>
        </w:rPr>
      </w:pPr>
      <w:r w:rsidRPr="00107B76">
        <w:rPr>
          <w:lang w:val="en-GB"/>
        </w:rPr>
        <w:t>the research organisations or research infrastructures receive compensation equivalent to the market price for the IPR which result from their activities and are assigned to the participating undertakings, or to which participating undertakings are allocated access rights. The absolute amount of the value of any contribution, both financial and non-financial, of the participating undertakings to the costs of the research organisations or research infrastructures’ activities that resulted in the IPR concerned, may be deducted from that compensation.</w:t>
      </w:r>
    </w:p>
    <w:p w14:paraId="31979330" w14:textId="4B597074" w:rsidR="00E32959" w:rsidRPr="00107B76" w:rsidRDefault="006C6373" w:rsidP="00AD73C5">
      <w:pPr>
        <w:pStyle w:val="ListParagraph"/>
        <w:numPr>
          <w:ilvl w:val="0"/>
          <w:numId w:val="3"/>
        </w:numPr>
        <w:tabs>
          <w:tab w:val="left" w:pos="1134"/>
        </w:tabs>
        <w:ind w:left="0" w:firstLine="709"/>
        <w:contextualSpacing w:val="0"/>
        <w:jc w:val="both"/>
        <w:rPr>
          <w:lang w:val="en-GB"/>
        </w:rPr>
      </w:pPr>
      <w:r w:rsidRPr="00107B76">
        <w:rPr>
          <w:lang w:val="en-GB"/>
        </w:rPr>
        <w:t>Indirect State aid is not deemed to be awarded also if any IPR resulting from the project, as well as related access rights are allocated to the different collaboration partners in a manner which adequately reflects their work packages, contributions and respective interests</w:t>
      </w:r>
      <w:r w:rsidR="003200DA" w:rsidRPr="00107B76">
        <w:rPr>
          <w:lang w:val="en-GB"/>
        </w:rPr>
        <w:t>.</w:t>
      </w:r>
    </w:p>
    <w:p w14:paraId="04893156" w14:textId="63A485C2" w:rsidR="002F4583" w:rsidRPr="00107B76" w:rsidRDefault="006C6373" w:rsidP="00AD73C5">
      <w:pPr>
        <w:pStyle w:val="ListParagraph"/>
        <w:numPr>
          <w:ilvl w:val="0"/>
          <w:numId w:val="3"/>
        </w:numPr>
        <w:tabs>
          <w:tab w:val="left" w:pos="1134"/>
        </w:tabs>
        <w:ind w:left="0" w:firstLine="709"/>
        <w:contextualSpacing w:val="0"/>
        <w:jc w:val="both"/>
        <w:rPr>
          <w:lang w:val="en-GB"/>
        </w:rPr>
      </w:pPr>
      <w:r w:rsidRPr="00107B76">
        <w:rPr>
          <w:lang w:val="en-GB"/>
        </w:rPr>
        <w:t xml:space="preserve">If none of the conditions </w:t>
      </w:r>
      <w:r w:rsidR="003200DA" w:rsidRPr="00107B76">
        <w:rPr>
          <w:lang w:val="en-GB"/>
        </w:rPr>
        <w:t>stated</w:t>
      </w:r>
      <w:r w:rsidRPr="00107B76">
        <w:rPr>
          <w:lang w:val="en-GB"/>
        </w:rPr>
        <w:t xml:space="preserve"> in paragraph </w:t>
      </w:r>
      <w:r w:rsidR="00A778C7" w:rsidRPr="00107B76">
        <w:rPr>
          <w:lang w:val="en-GB"/>
        </w:rPr>
        <w:t xml:space="preserve">51 </w:t>
      </w:r>
      <w:r w:rsidRPr="00107B76">
        <w:rPr>
          <w:lang w:val="en-GB"/>
        </w:rPr>
        <w:t xml:space="preserve">of the Call is observed and the </w:t>
      </w:r>
      <w:r w:rsidR="00A778C7" w:rsidRPr="00107B76">
        <w:rPr>
          <w:lang w:val="en-GB"/>
        </w:rPr>
        <w:t>MITA</w:t>
      </w:r>
      <w:r w:rsidRPr="00107B76">
        <w:rPr>
          <w:lang w:val="en-GB"/>
        </w:rPr>
        <w:t xml:space="preserve"> determines that State aid has been awarded, all the contribution of a research organisation to a project (eligible expenditure) is deemed to be State aid and MITA will reduce funding  by a respective amount for a Project Promoter or partner, depending on who has received the aid.</w:t>
      </w:r>
    </w:p>
    <w:p w14:paraId="310BE5CF" w14:textId="7938103D" w:rsidR="00263CB9" w:rsidRPr="00107B76" w:rsidRDefault="00AC4B36" w:rsidP="00AD73C5">
      <w:pPr>
        <w:pStyle w:val="ListParagraph"/>
        <w:numPr>
          <w:ilvl w:val="0"/>
          <w:numId w:val="3"/>
        </w:numPr>
        <w:tabs>
          <w:tab w:val="left" w:pos="1134"/>
        </w:tabs>
        <w:ind w:left="0" w:firstLine="709"/>
        <w:contextualSpacing w:val="0"/>
        <w:jc w:val="both"/>
        <w:rPr>
          <w:lang w:val="en-GB"/>
        </w:rPr>
      </w:pPr>
      <w:r w:rsidRPr="00107B76">
        <w:rPr>
          <w:color w:val="000000"/>
          <w:lang w:val="en-GB"/>
        </w:rPr>
        <w:t>S</w:t>
      </w:r>
      <w:r w:rsidR="00A45409" w:rsidRPr="00107B76">
        <w:rPr>
          <w:color w:val="000000"/>
          <w:lang w:val="en-GB"/>
        </w:rPr>
        <w:t xml:space="preserve">tate aid </w:t>
      </w:r>
      <w:r w:rsidR="00AA630D" w:rsidRPr="00107B76">
        <w:rPr>
          <w:color w:val="000000"/>
          <w:lang w:val="en-GB"/>
        </w:rPr>
        <w:t>for the activity present</w:t>
      </w:r>
      <w:r w:rsidR="009234FB" w:rsidRPr="00107B76">
        <w:rPr>
          <w:color w:val="000000"/>
          <w:lang w:val="en-GB"/>
        </w:rPr>
        <w:t>e</w:t>
      </w:r>
      <w:r w:rsidR="00AA630D" w:rsidRPr="00107B76">
        <w:rPr>
          <w:color w:val="000000"/>
          <w:lang w:val="en-GB"/>
        </w:rPr>
        <w:t xml:space="preserve">d in subparagraph 13.3 </w:t>
      </w:r>
      <w:r w:rsidRPr="00107B76">
        <w:rPr>
          <w:color w:val="000000"/>
          <w:lang w:val="en-GB"/>
        </w:rPr>
        <w:t xml:space="preserve">of the </w:t>
      </w:r>
      <w:r w:rsidR="00A74AD3" w:rsidRPr="00107B76">
        <w:rPr>
          <w:color w:val="000000"/>
          <w:lang w:val="en-GB"/>
        </w:rPr>
        <w:t>Cal</w:t>
      </w:r>
      <w:r w:rsidR="009234FB" w:rsidRPr="00107B76">
        <w:rPr>
          <w:color w:val="000000"/>
          <w:lang w:val="en-GB"/>
        </w:rPr>
        <w:t>l</w:t>
      </w:r>
      <w:r w:rsidR="00A74AD3" w:rsidRPr="00107B76">
        <w:rPr>
          <w:color w:val="000000"/>
          <w:lang w:val="en-GB"/>
        </w:rPr>
        <w:t xml:space="preserve"> </w:t>
      </w:r>
      <w:r w:rsidR="009234FB" w:rsidRPr="00107B76">
        <w:rPr>
          <w:color w:val="000000"/>
          <w:lang w:val="en-GB"/>
        </w:rPr>
        <w:t>is</w:t>
      </w:r>
      <w:r w:rsidR="00A74AD3" w:rsidRPr="00107B76">
        <w:rPr>
          <w:color w:val="000000"/>
          <w:lang w:val="en-GB"/>
        </w:rPr>
        <w:t xml:space="preserve"> granted </w:t>
      </w:r>
      <w:r w:rsidR="003E2BEA" w:rsidRPr="00107B76">
        <w:rPr>
          <w:color w:val="000000"/>
          <w:lang w:val="en-GB"/>
        </w:rPr>
        <w:t xml:space="preserve">in line with </w:t>
      </w:r>
      <w:r w:rsidR="0035166F" w:rsidRPr="00107B76">
        <w:rPr>
          <w:color w:val="000000"/>
          <w:lang w:val="en-GB"/>
        </w:rPr>
        <w:t xml:space="preserve">articles 14 and 18 of </w:t>
      </w:r>
      <w:r w:rsidR="003E2BEA" w:rsidRPr="00107B76">
        <w:rPr>
          <w:color w:val="000000"/>
          <w:lang w:val="en-GB"/>
        </w:rPr>
        <w:t>State Aid Regulation</w:t>
      </w:r>
      <w:r w:rsidR="0035166F" w:rsidRPr="00107B76">
        <w:rPr>
          <w:color w:val="000000"/>
          <w:lang w:val="en-GB"/>
        </w:rPr>
        <w:t>.</w:t>
      </w:r>
    </w:p>
    <w:p w14:paraId="07C707F4" w14:textId="1F506BF7" w:rsidR="007C36EE" w:rsidRPr="00107B76" w:rsidRDefault="009C6FAC" w:rsidP="00AD73C5">
      <w:pPr>
        <w:pStyle w:val="ListParagraph"/>
        <w:numPr>
          <w:ilvl w:val="1"/>
          <w:numId w:val="3"/>
        </w:numPr>
        <w:tabs>
          <w:tab w:val="left" w:pos="1134"/>
        </w:tabs>
        <w:ind w:left="0" w:firstLine="709"/>
        <w:contextualSpacing w:val="0"/>
        <w:jc w:val="both"/>
        <w:rPr>
          <w:lang w:val="en-GB"/>
        </w:rPr>
      </w:pPr>
      <w:r w:rsidRPr="00107B76">
        <w:rPr>
          <w:lang w:val="en-GB"/>
        </w:rPr>
        <w:t>For Regional Investment Aid the aid intensity shall not exceed</w:t>
      </w:r>
      <w:r w:rsidR="00A96B7E" w:rsidRPr="00107B76">
        <w:rPr>
          <w:lang w:val="en-GB"/>
        </w:rPr>
        <w:t>:</w:t>
      </w:r>
    </w:p>
    <w:p w14:paraId="04C2A593" w14:textId="75C81295" w:rsidR="009B4C46" w:rsidRPr="00107B76" w:rsidRDefault="009B4C46" w:rsidP="00AD73C5">
      <w:pPr>
        <w:pStyle w:val="ListParagraph"/>
        <w:numPr>
          <w:ilvl w:val="2"/>
          <w:numId w:val="3"/>
        </w:numPr>
        <w:tabs>
          <w:tab w:val="left" w:pos="1134"/>
          <w:tab w:val="left" w:pos="1276"/>
          <w:tab w:val="left" w:pos="1418"/>
          <w:tab w:val="left" w:pos="1560"/>
          <w:tab w:val="left" w:pos="1701"/>
        </w:tabs>
        <w:ind w:left="0" w:firstLine="709"/>
        <w:contextualSpacing w:val="0"/>
        <w:jc w:val="both"/>
        <w:rPr>
          <w:color w:val="000000"/>
          <w:lang w:val="en-GB"/>
        </w:rPr>
      </w:pPr>
      <w:r w:rsidRPr="00107B76">
        <w:rPr>
          <w:color w:val="000000"/>
          <w:lang w:val="en-GB"/>
        </w:rPr>
        <w:t>45 %</w:t>
      </w:r>
      <w:r w:rsidR="004C1E40" w:rsidRPr="00107B76">
        <w:rPr>
          <w:color w:val="000000"/>
          <w:lang w:val="en-GB"/>
        </w:rPr>
        <w:t xml:space="preserve"> of the eligible costs for micro and small entities</w:t>
      </w:r>
      <w:r w:rsidR="003D7A66" w:rsidRPr="00107B76">
        <w:rPr>
          <w:color w:val="000000"/>
          <w:lang w:val="en-GB"/>
        </w:rPr>
        <w:t>.</w:t>
      </w:r>
    </w:p>
    <w:p w14:paraId="4D6E0BFC" w14:textId="081F032F" w:rsidR="009B4C46" w:rsidRPr="00107B76" w:rsidRDefault="007C36EE" w:rsidP="00AD73C5">
      <w:pPr>
        <w:pStyle w:val="ListParagraph"/>
        <w:numPr>
          <w:ilvl w:val="2"/>
          <w:numId w:val="3"/>
        </w:numPr>
        <w:tabs>
          <w:tab w:val="left" w:pos="1134"/>
          <w:tab w:val="left" w:pos="1276"/>
          <w:tab w:val="left" w:pos="1418"/>
          <w:tab w:val="left" w:pos="1560"/>
          <w:tab w:val="left" w:pos="1701"/>
        </w:tabs>
        <w:ind w:left="0" w:firstLine="709"/>
        <w:contextualSpacing w:val="0"/>
        <w:jc w:val="both"/>
        <w:rPr>
          <w:color w:val="000000"/>
          <w:lang w:val="en-GB"/>
        </w:rPr>
      </w:pPr>
      <w:r w:rsidRPr="00107B76">
        <w:rPr>
          <w:color w:val="000000"/>
          <w:lang w:val="en-GB"/>
        </w:rPr>
        <w:t>35</w:t>
      </w:r>
      <w:r w:rsidR="004C1E40" w:rsidRPr="00107B76">
        <w:rPr>
          <w:color w:val="000000"/>
          <w:lang w:val="en-GB"/>
        </w:rPr>
        <w:t xml:space="preserve"> %</w:t>
      </w:r>
      <w:r w:rsidRPr="00107B76">
        <w:rPr>
          <w:color w:val="000000"/>
          <w:lang w:val="en-GB"/>
        </w:rPr>
        <w:t xml:space="preserve"> </w:t>
      </w:r>
      <w:r w:rsidR="004B34B7" w:rsidRPr="00107B76">
        <w:rPr>
          <w:color w:val="000000"/>
          <w:lang w:val="en-GB"/>
        </w:rPr>
        <w:t>of the eligible costs for medium entities.</w:t>
      </w:r>
    </w:p>
    <w:p w14:paraId="64F7F287" w14:textId="678F050C" w:rsidR="00A00D15" w:rsidRPr="00107B76" w:rsidRDefault="00DC4ACA" w:rsidP="00AD73C5">
      <w:pPr>
        <w:pStyle w:val="ListParagraph"/>
        <w:numPr>
          <w:ilvl w:val="1"/>
          <w:numId w:val="3"/>
        </w:numPr>
        <w:tabs>
          <w:tab w:val="left" w:pos="1134"/>
        </w:tabs>
        <w:ind w:left="0" w:firstLine="709"/>
        <w:contextualSpacing w:val="0"/>
        <w:jc w:val="both"/>
        <w:rPr>
          <w:color w:val="000000"/>
          <w:lang w:val="en-GB"/>
        </w:rPr>
      </w:pPr>
      <w:r w:rsidRPr="00107B76">
        <w:rPr>
          <w:color w:val="000000"/>
          <w:lang w:val="en-GB"/>
        </w:rPr>
        <w:t>For aid for consultancy in favour of SMEs the aid intensity shall not exceed 50 % of the eligible</w:t>
      </w:r>
      <w:r w:rsidR="002B0169" w:rsidRPr="00107B76">
        <w:rPr>
          <w:color w:val="000000"/>
          <w:lang w:val="en-GB"/>
        </w:rPr>
        <w:t xml:space="preserve"> costs.</w:t>
      </w:r>
    </w:p>
    <w:p w14:paraId="01FFEB8A" w14:textId="070EBC0A" w:rsidR="00F234CD" w:rsidRPr="00107B76" w:rsidRDefault="00976344" w:rsidP="00AD73C5">
      <w:pPr>
        <w:pStyle w:val="ListParagraph"/>
        <w:numPr>
          <w:ilvl w:val="0"/>
          <w:numId w:val="3"/>
        </w:numPr>
        <w:tabs>
          <w:tab w:val="left" w:pos="1134"/>
        </w:tabs>
        <w:ind w:left="0" w:firstLine="709"/>
        <w:contextualSpacing w:val="0"/>
        <w:jc w:val="both"/>
        <w:rPr>
          <w:lang w:val="en-GB"/>
        </w:rPr>
      </w:pPr>
      <w:r w:rsidRPr="00107B76">
        <w:rPr>
          <w:lang w:val="en-GB"/>
        </w:rPr>
        <w:t>The maximum grant rate should be determined for the Project promoter and Partner (</w:t>
      </w:r>
      <w:r w:rsidR="00111CE2" w:rsidRPr="00107B76">
        <w:rPr>
          <w:lang w:val="en-GB"/>
        </w:rPr>
        <w:t>-s</w:t>
      </w:r>
      <w:r w:rsidRPr="00107B76">
        <w:rPr>
          <w:lang w:val="en-GB"/>
        </w:rPr>
        <w:t xml:space="preserve">) </w:t>
      </w:r>
      <w:r w:rsidR="00E32B9E" w:rsidRPr="00107B76">
        <w:rPr>
          <w:lang w:val="en-GB"/>
        </w:rPr>
        <w:t xml:space="preserve">separately. </w:t>
      </w:r>
    </w:p>
    <w:p w14:paraId="674AD638" w14:textId="254862E5" w:rsidR="00312323" w:rsidRPr="00107B76" w:rsidRDefault="00346D65" w:rsidP="00AD73C5">
      <w:pPr>
        <w:pStyle w:val="ListParagraph"/>
        <w:numPr>
          <w:ilvl w:val="0"/>
          <w:numId w:val="3"/>
        </w:numPr>
        <w:tabs>
          <w:tab w:val="left" w:pos="1134"/>
        </w:tabs>
        <w:ind w:left="0" w:firstLine="709"/>
        <w:contextualSpacing w:val="0"/>
        <w:jc w:val="both"/>
        <w:rPr>
          <w:lang w:val="en-GB"/>
        </w:rPr>
      </w:pPr>
      <w:r w:rsidRPr="00107B76">
        <w:rPr>
          <w:lang w:val="en-GB"/>
        </w:rPr>
        <w:t>The Applicant</w:t>
      </w:r>
      <w:r w:rsidR="00987DD3" w:rsidRPr="00107B76">
        <w:rPr>
          <w:lang w:val="en-GB"/>
        </w:rPr>
        <w:t xml:space="preserve"> an</w:t>
      </w:r>
      <w:r w:rsidR="00ED1B07" w:rsidRPr="00107B76">
        <w:rPr>
          <w:lang w:val="en-GB"/>
        </w:rPr>
        <w:t>d (or)</w:t>
      </w:r>
      <w:r w:rsidR="00312323" w:rsidRPr="00107B76">
        <w:rPr>
          <w:lang w:val="en-GB"/>
        </w:rPr>
        <w:t xml:space="preserve"> </w:t>
      </w:r>
      <w:r w:rsidR="006D69FD" w:rsidRPr="00107B76">
        <w:rPr>
          <w:lang w:val="en-GB"/>
        </w:rPr>
        <w:t>a partner</w:t>
      </w:r>
      <w:r w:rsidR="00312323" w:rsidRPr="00107B76">
        <w:rPr>
          <w:lang w:val="en-GB"/>
        </w:rPr>
        <w:t xml:space="preserve"> (-s) </w:t>
      </w:r>
      <w:r w:rsidRPr="00107B76">
        <w:rPr>
          <w:lang w:val="en-GB"/>
        </w:rPr>
        <w:t xml:space="preserve">shall secure financing </w:t>
      </w:r>
      <w:r w:rsidR="00312323" w:rsidRPr="00107B76">
        <w:rPr>
          <w:lang w:val="en-GB"/>
        </w:rPr>
        <w:t xml:space="preserve">for the </w:t>
      </w:r>
      <w:r w:rsidR="00FF4D7B" w:rsidRPr="00107B76">
        <w:rPr>
          <w:lang w:val="en-GB"/>
        </w:rPr>
        <w:t xml:space="preserve">part of </w:t>
      </w:r>
      <w:r w:rsidR="00312323" w:rsidRPr="00107B76">
        <w:rPr>
          <w:lang w:val="en-GB"/>
        </w:rPr>
        <w:t xml:space="preserve">eligible expenses that </w:t>
      </w:r>
      <w:r w:rsidR="004A57E5" w:rsidRPr="00107B76">
        <w:rPr>
          <w:lang w:val="en-GB"/>
        </w:rPr>
        <w:t>is</w:t>
      </w:r>
      <w:r w:rsidR="00312323" w:rsidRPr="00107B76">
        <w:rPr>
          <w:lang w:val="en-GB"/>
        </w:rPr>
        <w:t xml:space="preserve"> not covered by the grant. </w:t>
      </w:r>
    </w:p>
    <w:p w14:paraId="55C773FF" w14:textId="2E0E8953" w:rsidR="00416E70" w:rsidRPr="00107B76" w:rsidRDefault="00E10F7C" w:rsidP="00AD73C5">
      <w:pPr>
        <w:pStyle w:val="ListParagraph"/>
        <w:numPr>
          <w:ilvl w:val="0"/>
          <w:numId w:val="3"/>
        </w:numPr>
        <w:tabs>
          <w:tab w:val="left" w:pos="1134"/>
        </w:tabs>
        <w:ind w:left="0" w:firstLine="709"/>
        <w:contextualSpacing w:val="0"/>
        <w:jc w:val="both"/>
        <w:rPr>
          <w:lang w:val="en-GB"/>
        </w:rPr>
      </w:pPr>
      <w:r w:rsidRPr="00107B76">
        <w:rPr>
          <w:lang w:val="en-GB"/>
        </w:rPr>
        <w:t>An applicant</w:t>
      </w:r>
      <w:r w:rsidR="00D86BFF" w:rsidRPr="00107B76">
        <w:rPr>
          <w:lang w:val="en-GB"/>
        </w:rPr>
        <w:t xml:space="preserve"> and (or) partner, on their own initiative, can contribute</w:t>
      </w:r>
      <w:r w:rsidR="00F36C95" w:rsidRPr="00107B76">
        <w:rPr>
          <w:lang w:val="en-GB"/>
        </w:rPr>
        <w:t xml:space="preserve"> from own funds</w:t>
      </w:r>
      <w:r w:rsidR="00EE5A66" w:rsidRPr="00107B76">
        <w:rPr>
          <w:lang w:val="en-GB"/>
        </w:rPr>
        <w:t xml:space="preserve"> or other sources </w:t>
      </w:r>
      <w:r w:rsidR="00E5169C" w:rsidRPr="00107B76">
        <w:rPr>
          <w:lang w:val="en-GB"/>
        </w:rPr>
        <w:t>and allocate</w:t>
      </w:r>
      <w:r w:rsidR="00573B71" w:rsidRPr="00107B76">
        <w:rPr>
          <w:lang w:val="en-GB"/>
        </w:rPr>
        <w:t xml:space="preserve"> </w:t>
      </w:r>
      <w:r w:rsidR="00E5169C" w:rsidRPr="00107B76">
        <w:rPr>
          <w:lang w:val="en-GB"/>
        </w:rPr>
        <w:t>a</w:t>
      </w:r>
      <w:r w:rsidR="00353291" w:rsidRPr="00107B76">
        <w:rPr>
          <w:lang w:val="en-GB"/>
        </w:rPr>
        <w:t xml:space="preserve"> </w:t>
      </w:r>
      <w:r w:rsidR="00573B71" w:rsidRPr="00107B76">
        <w:rPr>
          <w:lang w:val="en-GB"/>
        </w:rPr>
        <w:t xml:space="preserve">bigger </w:t>
      </w:r>
      <w:r w:rsidR="008F1B0F" w:rsidRPr="00107B76">
        <w:rPr>
          <w:lang w:val="en-GB"/>
        </w:rPr>
        <w:t>amount for implementation of a project than it is required.</w:t>
      </w:r>
    </w:p>
    <w:p w14:paraId="0DC3F551" w14:textId="20688C28" w:rsidR="00EA46FC" w:rsidRPr="00107B76" w:rsidRDefault="00234F73" w:rsidP="00AD73C5">
      <w:pPr>
        <w:pStyle w:val="ListParagraph"/>
        <w:numPr>
          <w:ilvl w:val="0"/>
          <w:numId w:val="3"/>
        </w:numPr>
        <w:tabs>
          <w:tab w:val="left" w:pos="1134"/>
        </w:tabs>
        <w:ind w:left="0" w:firstLine="709"/>
        <w:contextualSpacing w:val="0"/>
        <w:jc w:val="both"/>
        <w:rPr>
          <w:lang w:val="en-GB"/>
        </w:rPr>
      </w:pPr>
      <w:r w:rsidRPr="00107B76">
        <w:rPr>
          <w:lang w:val="en-GB"/>
        </w:rPr>
        <w:t xml:space="preserve">The funding intended for implementation of the project is directly obtained exclusively by </w:t>
      </w:r>
      <w:r w:rsidR="00D700F7" w:rsidRPr="00107B76">
        <w:rPr>
          <w:lang w:val="en-GB"/>
        </w:rPr>
        <w:t>a</w:t>
      </w:r>
      <w:r w:rsidRPr="00107B76">
        <w:rPr>
          <w:lang w:val="en-GB"/>
        </w:rPr>
        <w:t xml:space="preserve"> </w:t>
      </w:r>
      <w:r w:rsidR="00722E7A" w:rsidRPr="00107B76">
        <w:rPr>
          <w:lang w:val="en-GB"/>
        </w:rPr>
        <w:t>P</w:t>
      </w:r>
      <w:r w:rsidRPr="00107B76">
        <w:rPr>
          <w:lang w:val="en-GB"/>
        </w:rPr>
        <w:t xml:space="preserve">roject </w:t>
      </w:r>
      <w:r w:rsidR="00722E7A" w:rsidRPr="00107B76">
        <w:rPr>
          <w:lang w:val="en-GB"/>
        </w:rPr>
        <w:t>P</w:t>
      </w:r>
      <w:r w:rsidRPr="00107B76">
        <w:rPr>
          <w:lang w:val="en-GB"/>
        </w:rPr>
        <w:t xml:space="preserve">romoter, </w:t>
      </w:r>
      <w:r w:rsidR="00722E7A" w:rsidRPr="00107B76">
        <w:rPr>
          <w:lang w:val="en-GB"/>
        </w:rPr>
        <w:t>who</w:t>
      </w:r>
      <w:r w:rsidRPr="00107B76">
        <w:rPr>
          <w:lang w:val="en-GB"/>
        </w:rPr>
        <w:t xml:space="preserve"> settles accounts with his partners. </w:t>
      </w:r>
      <w:r w:rsidR="00EA46FC" w:rsidRPr="00107B76">
        <w:rPr>
          <w:lang w:val="en-GB"/>
        </w:rPr>
        <w:t xml:space="preserve">Expenditures which are eligible under a project and are incurred by a partner are eligible for funding. They are reimbursed by a Project Promoter. </w:t>
      </w:r>
      <w:r w:rsidRPr="00107B76">
        <w:rPr>
          <w:lang w:val="en-GB"/>
        </w:rPr>
        <w:t xml:space="preserve">The partners do not receive any financing directly. </w:t>
      </w:r>
      <w:r w:rsidR="00196601" w:rsidRPr="00107B76">
        <w:rPr>
          <w:lang w:val="en-GB"/>
        </w:rPr>
        <w:t>F</w:t>
      </w:r>
      <w:r w:rsidRPr="00107B76">
        <w:rPr>
          <w:lang w:val="en-GB"/>
        </w:rPr>
        <w:t xml:space="preserve">unding for partners is monitored and checked upon the receipt of the payment application. </w:t>
      </w:r>
    </w:p>
    <w:p w14:paraId="002757A1" w14:textId="0156B798" w:rsidR="00F234CD" w:rsidRPr="00107B76" w:rsidRDefault="00995B4A" w:rsidP="00AD73C5">
      <w:pPr>
        <w:pStyle w:val="ListParagraph"/>
        <w:numPr>
          <w:ilvl w:val="0"/>
          <w:numId w:val="3"/>
        </w:numPr>
        <w:tabs>
          <w:tab w:val="left" w:pos="1134"/>
        </w:tabs>
        <w:ind w:left="0" w:firstLine="709"/>
        <w:contextualSpacing w:val="0"/>
        <w:jc w:val="both"/>
        <w:rPr>
          <w:lang w:val="en-GB"/>
        </w:rPr>
      </w:pPr>
      <w:r w:rsidRPr="00107B76">
        <w:rPr>
          <w:lang w:val="en-GB"/>
        </w:rPr>
        <w:t>A</w:t>
      </w:r>
      <w:r w:rsidR="00DA685D" w:rsidRPr="00107B76">
        <w:rPr>
          <w:lang w:val="en-GB"/>
        </w:rPr>
        <w:t xml:space="preserve"> Pr</w:t>
      </w:r>
      <w:r w:rsidR="00A6610F" w:rsidRPr="00107B76">
        <w:rPr>
          <w:lang w:val="en-GB"/>
        </w:rPr>
        <w:t xml:space="preserve">oject Promoter shall transfer </w:t>
      </w:r>
      <w:r w:rsidR="00364B1C" w:rsidRPr="00107B76">
        <w:rPr>
          <w:lang w:val="en-GB"/>
        </w:rPr>
        <w:t xml:space="preserve">the </w:t>
      </w:r>
      <w:r w:rsidR="00E80DEF" w:rsidRPr="00107B76">
        <w:rPr>
          <w:lang w:val="en-GB"/>
        </w:rPr>
        <w:t xml:space="preserve">intended </w:t>
      </w:r>
      <w:r w:rsidR="00DA3CA6" w:rsidRPr="00107B76">
        <w:rPr>
          <w:lang w:val="en-GB"/>
        </w:rPr>
        <w:t xml:space="preserve">for a partner </w:t>
      </w:r>
      <w:r w:rsidR="00196601" w:rsidRPr="00107B76">
        <w:rPr>
          <w:lang w:val="en-GB"/>
        </w:rPr>
        <w:t xml:space="preserve">part of a </w:t>
      </w:r>
      <w:r w:rsidR="00DA3CA6" w:rsidRPr="00107B76">
        <w:rPr>
          <w:lang w:val="en-GB"/>
        </w:rPr>
        <w:t xml:space="preserve">grant amount within 5 working days </w:t>
      </w:r>
      <w:r w:rsidR="00EB4DAF" w:rsidRPr="00107B76">
        <w:rPr>
          <w:lang w:val="en-GB"/>
        </w:rPr>
        <w:t xml:space="preserve">from the </w:t>
      </w:r>
      <w:r w:rsidR="00797EAA" w:rsidRPr="00107B76">
        <w:rPr>
          <w:lang w:val="en-GB"/>
        </w:rPr>
        <w:t xml:space="preserve">day of </w:t>
      </w:r>
      <w:r w:rsidR="009D01D6" w:rsidRPr="00107B76">
        <w:rPr>
          <w:lang w:val="en-GB"/>
        </w:rPr>
        <w:t>its receipt.</w:t>
      </w:r>
      <w:r w:rsidR="00797EAA" w:rsidRPr="00107B76">
        <w:rPr>
          <w:lang w:val="en-GB"/>
        </w:rPr>
        <w:t xml:space="preserve"> </w:t>
      </w:r>
      <w:r w:rsidR="00107B76" w:rsidRPr="00107B76">
        <w:rPr>
          <w:lang w:val="en-GB"/>
        </w:rPr>
        <w:t xml:space="preserve">A Project Promoter cannot use the funding allocated to the Partner. </w:t>
      </w:r>
    </w:p>
    <w:p w14:paraId="5240EE73" w14:textId="77777777" w:rsidR="00DA685D" w:rsidRPr="00107B76" w:rsidRDefault="00DA685D" w:rsidP="00DA685D">
      <w:pPr>
        <w:tabs>
          <w:tab w:val="left" w:pos="1134"/>
        </w:tabs>
        <w:jc w:val="both"/>
        <w:rPr>
          <w:lang w:val="en-GB"/>
        </w:rPr>
      </w:pPr>
    </w:p>
    <w:p w14:paraId="5B33552A" w14:textId="21B6DCA3" w:rsidR="00F234CD" w:rsidRPr="00107B76" w:rsidRDefault="0019052E" w:rsidP="004C0A76">
      <w:pPr>
        <w:jc w:val="center"/>
        <w:rPr>
          <w:color w:val="000000"/>
          <w:lang w:val="en-GB"/>
        </w:rPr>
      </w:pPr>
      <w:r w:rsidRPr="00107B76">
        <w:rPr>
          <w:b/>
          <w:bCs/>
          <w:color w:val="000000"/>
          <w:lang w:val="en-GB"/>
        </w:rPr>
        <w:t>Article 3</w:t>
      </w:r>
    </w:p>
    <w:p w14:paraId="5B570366" w14:textId="0EB80820" w:rsidR="00F234CD" w:rsidRPr="00107B76" w:rsidRDefault="00AE37BB" w:rsidP="004C0A76">
      <w:pPr>
        <w:jc w:val="center"/>
        <w:rPr>
          <w:b/>
          <w:bCs/>
          <w:color w:val="000000"/>
          <w:lang w:val="en-GB"/>
        </w:rPr>
      </w:pPr>
      <w:r w:rsidRPr="00107B76">
        <w:rPr>
          <w:rStyle w:val="apple-converted-space"/>
          <w:b/>
          <w:bCs/>
          <w:color w:val="000000"/>
          <w:lang w:val="en-GB"/>
        </w:rPr>
        <w:t>PROJECT EXPENDITURES</w:t>
      </w:r>
    </w:p>
    <w:p w14:paraId="6FABF1C4" w14:textId="168C5151" w:rsidR="00881701" w:rsidRPr="00107B76" w:rsidRDefault="00881701" w:rsidP="00BF5D6D">
      <w:pPr>
        <w:jc w:val="both"/>
        <w:rPr>
          <w:lang w:val="en-GB"/>
        </w:rPr>
      </w:pPr>
    </w:p>
    <w:p w14:paraId="4B40986D" w14:textId="24E84DD0" w:rsidR="00745873" w:rsidRPr="00107B76" w:rsidRDefault="00950213" w:rsidP="00AD73C5">
      <w:pPr>
        <w:pStyle w:val="ListParagraph"/>
        <w:numPr>
          <w:ilvl w:val="0"/>
          <w:numId w:val="3"/>
        </w:numPr>
        <w:ind w:left="0" w:firstLine="709"/>
        <w:jc w:val="both"/>
        <w:rPr>
          <w:color w:val="000000"/>
          <w:lang w:val="en-GB"/>
        </w:rPr>
      </w:pPr>
      <w:r w:rsidRPr="00107B76">
        <w:rPr>
          <w:color w:val="000000"/>
          <w:lang w:val="en-GB"/>
        </w:rPr>
        <w:t xml:space="preserve">A list </w:t>
      </w:r>
      <w:r w:rsidR="00E34569" w:rsidRPr="00107B76">
        <w:rPr>
          <w:color w:val="000000"/>
          <w:lang w:val="en-GB"/>
        </w:rPr>
        <w:t xml:space="preserve">of eligible </w:t>
      </w:r>
      <w:r w:rsidR="00BF5D6D" w:rsidRPr="00107B76">
        <w:rPr>
          <w:color w:val="000000"/>
          <w:lang w:val="en-GB"/>
        </w:rPr>
        <w:t>types of expenditure</w:t>
      </w:r>
      <w:r w:rsidR="00DB7F84" w:rsidRPr="00107B76">
        <w:rPr>
          <w:color w:val="000000"/>
          <w:lang w:val="en-GB"/>
        </w:rPr>
        <w:t xml:space="preserve"> </w:t>
      </w:r>
      <w:r w:rsidR="007B6F77" w:rsidRPr="00107B76">
        <w:rPr>
          <w:color w:val="000000"/>
          <w:lang w:val="en-GB"/>
        </w:rPr>
        <w:t xml:space="preserve">under the Call </w:t>
      </w:r>
      <w:r w:rsidR="00E34569" w:rsidRPr="00107B76">
        <w:rPr>
          <w:color w:val="000000"/>
          <w:lang w:val="en-GB"/>
        </w:rPr>
        <w:t xml:space="preserve">is </w:t>
      </w:r>
      <w:r w:rsidR="00BF5D6D" w:rsidRPr="00107B76">
        <w:rPr>
          <w:color w:val="000000"/>
          <w:lang w:val="en-GB"/>
        </w:rPr>
        <w:t>presented in the Table 2.</w:t>
      </w:r>
      <w:r w:rsidR="00E34569" w:rsidRPr="00107B76">
        <w:rPr>
          <w:color w:val="000000"/>
          <w:lang w:val="en-GB"/>
        </w:rPr>
        <w:t xml:space="preserve"> </w:t>
      </w:r>
    </w:p>
    <w:p w14:paraId="082464AB" w14:textId="63777488" w:rsidR="00745873" w:rsidRPr="00107B76" w:rsidRDefault="00745873" w:rsidP="00BF5D6D">
      <w:pPr>
        <w:pStyle w:val="ListParagraph"/>
        <w:ind w:left="360"/>
        <w:jc w:val="both"/>
        <w:rPr>
          <w:color w:val="000000"/>
          <w:lang w:val="en-GB"/>
        </w:rPr>
      </w:pPr>
    </w:p>
    <w:p w14:paraId="7736AA24" w14:textId="767E7BC9" w:rsidR="00745873" w:rsidRPr="00107B76" w:rsidRDefault="00BF5D6D" w:rsidP="00BF5D6D">
      <w:pPr>
        <w:ind w:firstLine="360"/>
        <w:jc w:val="both"/>
        <w:rPr>
          <w:color w:val="000000"/>
          <w:lang w:val="en-GB"/>
        </w:rPr>
      </w:pPr>
      <w:r w:rsidRPr="00107B76">
        <w:rPr>
          <w:color w:val="000000"/>
          <w:lang w:val="en-GB"/>
        </w:rPr>
        <w:t>Table 2. Types of eligible expenditure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0"/>
        <w:gridCol w:w="7"/>
        <w:gridCol w:w="1830"/>
        <w:gridCol w:w="6809"/>
      </w:tblGrid>
      <w:tr w:rsidR="00A402F9" w:rsidRPr="00107B76" w14:paraId="7F0C2A9F" w14:textId="77777777" w:rsidTr="00D64857">
        <w:tc>
          <w:tcPr>
            <w:tcW w:w="887" w:type="dxa"/>
            <w:gridSpan w:val="2"/>
            <w:shd w:val="clear" w:color="auto" w:fill="FFFFFF" w:themeFill="background1"/>
            <w:tcMar>
              <w:top w:w="0" w:type="dxa"/>
              <w:left w:w="108" w:type="dxa"/>
              <w:bottom w:w="0" w:type="dxa"/>
              <w:right w:w="108" w:type="dxa"/>
            </w:tcMar>
            <w:vAlign w:val="center"/>
            <w:hideMark/>
          </w:tcPr>
          <w:p w14:paraId="717DA11D" w14:textId="1552C0B0" w:rsidR="00A402F9" w:rsidRPr="00107B76" w:rsidRDefault="00BF5D6D" w:rsidP="00D64857">
            <w:pPr>
              <w:shd w:val="clear" w:color="auto" w:fill="FFFFFF" w:themeFill="background1"/>
              <w:ind w:right="-57"/>
              <w:jc w:val="center"/>
              <w:rPr>
                <w:b/>
                <w:bCs/>
                <w:lang w:val="en-GB" w:eastAsia="lt-LT"/>
              </w:rPr>
            </w:pPr>
            <w:r w:rsidRPr="00107B76">
              <w:rPr>
                <w:b/>
                <w:bCs/>
                <w:lang w:val="en-GB" w:eastAsia="lt-LT"/>
              </w:rPr>
              <w:t>No</w:t>
            </w:r>
            <w:r w:rsidR="007B6F77" w:rsidRPr="00107B76">
              <w:rPr>
                <w:b/>
                <w:bCs/>
                <w:lang w:val="en-GB" w:eastAsia="lt-LT"/>
              </w:rPr>
              <w:t>.</w:t>
            </w:r>
          </w:p>
        </w:tc>
        <w:tc>
          <w:tcPr>
            <w:tcW w:w="1830" w:type="dxa"/>
            <w:shd w:val="clear" w:color="auto" w:fill="FFFFFF" w:themeFill="background1"/>
            <w:tcMar>
              <w:top w:w="0" w:type="dxa"/>
              <w:left w:w="108" w:type="dxa"/>
              <w:bottom w:w="0" w:type="dxa"/>
              <w:right w:w="108" w:type="dxa"/>
            </w:tcMar>
            <w:vAlign w:val="center"/>
            <w:hideMark/>
          </w:tcPr>
          <w:p w14:paraId="7B9AC6F9" w14:textId="1057D9FF" w:rsidR="00A402F9" w:rsidRPr="00107B76" w:rsidRDefault="007B6F77" w:rsidP="00D64857">
            <w:pPr>
              <w:shd w:val="clear" w:color="auto" w:fill="FFFFFF" w:themeFill="background1"/>
              <w:ind w:right="-57"/>
              <w:jc w:val="center"/>
              <w:rPr>
                <w:b/>
                <w:bCs/>
                <w:lang w:val="en-GB" w:eastAsia="lt-LT"/>
              </w:rPr>
            </w:pPr>
            <w:r w:rsidRPr="00107B76">
              <w:rPr>
                <w:b/>
                <w:bCs/>
                <w:lang w:val="en-GB" w:eastAsia="lt-LT"/>
              </w:rPr>
              <w:t>Type of expenditure</w:t>
            </w:r>
          </w:p>
        </w:tc>
        <w:tc>
          <w:tcPr>
            <w:tcW w:w="6809" w:type="dxa"/>
            <w:shd w:val="clear" w:color="auto" w:fill="FFFFFF" w:themeFill="background1"/>
            <w:tcMar>
              <w:top w:w="0" w:type="dxa"/>
              <w:left w:w="108" w:type="dxa"/>
              <w:bottom w:w="0" w:type="dxa"/>
              <w:right w:w="108" w:type="dxa"/>
            </w:tcMar>
            <w:vAlign w:val="center"/>
            <w:hideMark/>
          </w:tcPr>
          <w:p w14:paraId="7BD03EF5" w14:textId="3DD9B659" w:rsidR="00A402F9" w:rsidRPr="00107B76" w:rsidRDefault="007B6F77" w:rsidP="00D64857">
            <w:pPr>
              <w:shd w:val="clear" w:color="auto" w:fill="FFFFFF" w:themeFill="background1"/>
              <w:ind w:left="567" w:right="-57"/>
              <w:jc w:val="center"/>
              <w:rPr>
                <w:b/>
                <w:bCs/>
                <w:lang w:val="en-GB" w:eastAsia="lt-LT"/>
              </w:rPr>
            </w:pPr>
            <w:r w:rsidRPr="00107B76">
              <w:rPr>
                <w:b/>
                <w:bCs/>
                <w:lang w:val="en-GB" w:eastAsia="lt-LT"/>
              </w:rPr>
              <w:t>Requirements and explanations</w:t>
            </w:r>
          </w:p>
        </w:tc>
      </w:tr>
      <w:tr w:rsidR="00A402F9" w:rsidRPr="00107B76" w14:paraId="04D4B0B4" w14:textId="77777777" w:rsidTr="00D64857">
        <w:tc>
          <w:tcPr>
            <w:tcW w:w="887" w:type="dxa"/>
            <w:gridSpan w:val="2"/>
            <w:shd w:val="clear" w:color="auto" w:fill="FFFFFF" w:themeFill="background1"/>
            <w:tcMar>
              <w:top w:w="0" w:type="dxa"/>
              <w:left w:w="108" w:type="dxa"/>
              <w:bottom w:w="0" w:type="dxa"/>
              <w:right w:w="108" w:type="dxa"/>
            </w:tcMar>
            <w:vAlign w:val="center"/>
            <w:hideMark/>
          </w:tcPr>
          <w:p w14:paraId="10CC0C14" w14:textId="77777777" w:rsidR="00A402F9" w:rsidRPr="00107B76" w:rsidRDefault="00A402F9" w:rsidP="00D64857">
            <w:pPr>
              <w:shd w:val="clear" w:color="auto" w:fill="FFFFFF" w:themeFill="background1"/>
              <w:rPr>
                <w:lang w:val="en-GB" w:eastAsia="lt-LT"/>
              </w:rPr>
            </w:pPr>
            <w:r w:rsidRPr="00107B76">
              <w:rPr>
                <w:lang w:val="en-GB" w:eastAsia="lt-LT"/>
              </w:rPr>
              <w:t>1.</w:t>
            </w:r>
          </w:p>
        </w:tc>
        <w:tc>
          <w:tcPr>
            <w:tcW w:w="1830" w:type="dxa"/>
            <w:shd w:val="clear" w:color="auto" w:fill="FFFFFF" w:themeFill="background1"/>
            <w:tcMar>
              <w:top w:w="0" w:type="dxa"/>
              <w:left w:w="108" w:type="dxa"/>
              <w:bottom w:w="0" w:type="dxa"/>
              <w:right w:w="108" w:type="dxa"/>
            </w:tcMar>
            <w:vAlign w:val="center"/>
            <w:hideMark/>
          </w:tcPr>
          <w:p w14:paraId="7EF8078B" w14:textId="28205C3E" w:rsidR="00A402F9" w:rsidRPr="00107B76" w:rsidRDefault="007B6F77" w:rsidP="00D64857">
            <w:pPr>
              <w:shd w:val="clear" w:color="auto" w:fill="FFFFFF" w:themeFill="background1"/>
              <w:ind w:left="34"/>
              <w:rPr>
                <w:lang w:val="en-GB" w:eastAsia="lt-LT"/>
              </w:rPr>
            </w:pPr>
            <w:r w:rsidRPr="00107B76">
              <w:rPr>
                <w:lang w:val="en-GB" w:eastAsia="lt-LT"/>
              </w:rPr>
              <w:t xml:space="preserve">Purchase </w:t>
            </w:r>
            <w:r w:rsidR="003340CF" w:rsidRPr="00107B76">
              <w:rPr>
                <w:lang w:val="en-GB" w:eastAsia="lt-LT"/>
              </w:rPr>
              <w:t>of</w:t>
            </w:r>
            <w:r w:rsidRPr="00107B76">
              <w:rPr>
                <w:lang w:val="en-GB" w:eastAsia="lt-LT"/>
              </w:rPr>
              <w:t xml:space="preserve"> real estate and land</w:t>
            </w:r>
          </w:p>
        </w:tc>
        <w:tc>
          <w:tcPr>
            <w:tcW w:w="6809" w:type="dxa"/>
            <w:shd w:val="clear" w:color="auto" w:fill="FFFFFF" w:themeFill="background1"/>
            <w:tcMar>
              <w:top w:w="0" w:type="dxa"/>
              <w:left w:w="108" w:type="dxa"/>
              <w:bottom w:w="0" w:type="dxa"/>
              <w:right w:w="108" w:type="dxa"/>
            </w:tcMar>
            <w:vAlign w:val="center"/>
            <w:hideMark/>
          </w:tcPr>
          <w:p w14:paraId="0C466D1D" w14:textId="3DEC5228" w:rsidR="00A402F9" w:rsidRPr="00107B76" w:rsidRDefault="007B6F77" w:rsidP="00D64857">
            <w:pPr>
              <w:shd w:val="clear" w:color="auto" w:fill="FFFFFF" w:themeFill="background1"/>
              <w:ind w:left="33"/>
              <w:jc w:val="both"/>
              <w:rPr>
                <w:lang w:val="en-GB" w:eastAsia="lt-LT"/>
              </w:rPr>
            </w:pPr>
            <w:r w:rsidRPr="00107B76">
              <w:rPr>
                <w:lang w:val="en-GB" w:eastAsia="lt-LT"/>
              </w:rPr>
              <w:t>Not applicable</w:t>
            </w:r>
          </w:p>
        </w:tc>
      </w:tr>
      <w:tr w:rsidR="007B6F77" w:rsidRPr="00107B76" w14:paraId="143958A9" w14:textId="77777777" w:rsidTr="00D64857">
        <w:tc>
          <w:tcPr>
            <w:tcW w:w="887" w:type="dxa"/>
            <w:gridSpan w:val="2"/>
            <w:shd w:val="clear" w:color="auto" w:fill="FFFFFF" w:themeFill="background1"/>
            <w:tcMar>
              <w:top w:w="0" w:type="dxa"/>
              <w:left w:w="108" w:type="dxa"/>
              <w:bottom w:w="0" w:type="dxa"/>
              <w:right w:w="108" w:type="dxa"/>
            </w:tcMar>
            <w:vAlign w:val="center"/>
            <w:hideMark/>
          </w:tcPr>
          <w:p w14:paraId="6E8BA196" w14:textId="77777777" w:rsidR="007B6F77" w:rsidRPr="00107B76" w:rsidRDefault="007B6F77" w:rsidP="00D64857">
            <w:pPr>
              <w:shd w:val="clear" w:color="auto" w:fill="FFFFFF" w:themeFill="background1"/>
              <w:rPr>
                <w:lang w:val="en-GB" w:eastAsia="lt-LT"/>
              </w:rPr>
            </w:pPr>
            <w:r w:rsidRPr="00107B76">
              <w:rPr>
                <w:lang w:val="en-GB" w:eastAsia="lt-LT"/>
              </w:rPr>
              <w:lastRenderedPageBreak/>
              <w:t>2.</w:t>
            </w:r>
          </w:p>
        </w:tc>
        <w:tc>
          <w:tcPr>
            <w:tcW w:w="1830" w:type="dxa"/>
            <w:shd w:val="clear" w:color="auto" w:fill="FFFFFF" w:themeFill="background1"/>
            <w:tcMar>
              <w:top w:w="0" w:type="dxa"/>
              <w:left w:w="108" w:type="dxa"/>
              <w:bottom w:w="0" w:type="dxa"/>
              <w:right w:w="108" w:type="dxa"/>
            </w:tcMar>
            <w:vAlign w:val="center"/>
            <w:hideMark/>
          </w:tcPr>
          <w:p w14:paraId="7DC2DA2B" w14:textId="574DA217" w:rsidR="007B6F77" w:rsidRPr="00107B76" w:rsidRDefault="007B6F77" w:rsidP="00D64857">
            <w:pPr>
              <w:shd w:val="clear" w:color="auto" w:fill="FFFFFF" w:themeFill="background1"/>
              <w:ind w:left="34" w:right="-57"/>
              <w:rPr>
                <w:lang w:val="en-GB" w:eastAsia="lt-LT"/>
              </w:rPr>
            </w:pPr>
            <w:r w:rsidRPr="00107B76">
              <w:rPr>
                <w:lang w:val="en-GB" w:eastAsia="lt-LT"/>
              </w:rPr>
              <w:t>Construction an</w:t>
            </w:r>
            <w:r w:rsidR="00760DBF" w:rsidRPr="00107B76">
              <w:rPr>
                <w:lang w:val="en-GB" w:eastAsia="lt-LT"/>
              </w:rPr>
              <w:t>d renovation</w:t>
            </w:r>
          </w:p>
        </w:tc>
        <w:tc>
          <w:tcPr>
            <w:tcW w:w="6809" w:type="dxa"/>
            <w:shd w:val="clear" w:color="auto" w:fill="FFFFFF" w:themeFill="background1"/>
            <w:tcMar>
              <w:top w:w="0" w:type="dxa"/>
              <w:left w:w="108" w:type="dxa"/>
              <w:bottom w:w="0" w:type="dxa"/>
              <w:right w:w="108" w:type="dxa"/>
            </w:tcMar>
            <w:vAlign w:val="center"/>
            <w:hideMark/>
          </w:tcPr>
          <w:p w14:paraId="3738AC5E" w14:textId="45A7A5B8" w:rsidR="007B6F77" w:rsidRPr="00107B76" w:rsidRDefault="007B6F77" w:rsidP="007B6F77">
            <w:pPr>
              <w:rPr>
                <w:lang w:val="en-GB" w:eastAsia="lt-LT"/>
              </w:rPr>
            </w:pPr>
            <w:r w:rsidRPr="00107B76">
              <w:rPr>
                <w:lang w:val="en-GB" w:eastAsia="lt-LT"/>
              </w:rPr>
              <w:t>Not applicable</w:t>
            </w:r>
          </w:p>
        </w:tc>
      </w:tr>
      <w:tr w:rsidR="00A402F9" w:rsidRPr="00107B76" w14:paraId="2299FD93" w14:textId="77777777" w:rsidTr="00D64857">
        <w:tc>
          <w:tcPr>
            <w:tcW w:w="887" w:type="dxa"/>
            <w:gridSpan w:val="2"/>
            <w:shd w:val="clear" w:color="auto" w:fill="FFFFFF" w:themeFill="background1"/>
            <w:tcMar>
              <w:top w:w="0" w:type="dxa"/>
              <w:left w:w="108" w:type="dxa"/>
              <w:bottom w:w="0" w:type="dxa"/>
              <w:right w:w="108" w:type="dxa"/>
            </w:tcMar>
            <w:vAlign w:val="center"/>
            <w:hideMark/>
          </w:tcPr>
          <w:p w14:paraId="770AFBF2" w14:textId="77777777" w:rsidR="00A402F9" w:rsidRPr="00107B76" w:rsidRDefault="00A402F9" w:rsidP="00D64857">
            <w:pPr>
              <w:shd w:val="clear" w:color="auto" w:fill="FFFFFF" w:themeFill="background1"/>
              <w:rPr>
                <w:lang w:val="en-GB" w:eastAsia="lt-LT"/>
              </w:rPr>
            </w:pPr>
            <w:r w:rsidRPr="00107B76">
              <w:rPr>
                <w:lang w:val="en-GB" w:eastAsia="lt-LT"/>
              </w:rPr>
              <w:t>3.</w:t>
            </w:r>
          </w:p>
        </w:tc>
        <w:tc>
          <w:tcPr>
            <w:tcW w:w="1830" w:type="dxa"/>
            <w:shd w:val="clear" w:color="auto" w:fill="FFFFFF" w:themeFill="background1"/>
            <w:tcMar>
              <w:top w:w="0" w:type="dxa"/>
              <w:left w:w="108" w:type="dxa"/>
              <w:bottom w:w="0" w:type="dxa"/>
              <w:right w:w="108" w:type="dxa"/>
            </w:tcMar>
            <w:vAlign w:val="center"/>
            <w:hideMark/>
          </w:tcPr>
          <w:p w14:paraId="7B7067B9" w14:textId="411760F8" w:rsidR="00A402F9" w:rsidRPr="00107B76" w:rsidRDefault="00107B76" w:rsidP="00D64857">
            <w:pPr>
              <w:shd w:val="clear" w:color="auto" w:fill="FFFFFF" w:themeFill="background1"/>
              <w:ind w:left="34"/>
              <w:rPr>
                <w:lang w:val="en-GB" w:eastAsia="lt-LT"/>
              </w:rPr>
            </w:pPr>
            <w:r w:rsidRPr="00107B76">
              <w:rPr>
                <w:lang w:val="en-GB" w:eastAsia="lt-LT"/>
              </w:rPr>
              <w:t>T</w:t>
            </w:r>
            <w:r w:rsidR="00165041" w:rsidRPr="00107B76">
              <w:rPr>
                <w:lang w:val="en-GB" w:eastAsia="lt-LT"/>
              </w:rPr>
              <w:t>angible assets</w:t>
            </w:r>
          </w:p>
        </w:tc>
        <w:tc>
          <w:tcPr>
            <w:tcW w:w="6809" w:type="dxa"/>
            <w:shd w:val="clear" w:color="auto" w:fill="FFFFFF" w:themeFill="background1"/>
            <w:tcMar>
              <w:top w:w="0" w:type="dxa"/>
              <w:left w:w="108" w:type="dxa"/>
              <w:bottom w:w="0" w:type="dxa"/>
              <w:right w:w="108" w:type="dxa"/>
            </w:tcMar>
            <w:vAlign w:val="center"/>
            <w:hideMark/>
          </w:tcPr>
          <w:p w14:paraId="60922845" w14:textId="20DA2379" w:rsidR="003200DA" w:rsidRPr="00107B76" w:rsidRDefault="005E4399" w:rsidP="001D2A0D">
            <w:pPr>
              <w:ind w:firstLine="607"/>
              <w:jc w:val="both"/>
              <w:rPr>
                <w:lang w:val="en-GB"/>
              </w:rPr>
            </w:pPr>
            <w:r w:rsidRPr="00107B76">
              <w:rPr>
                <w:color w:val="000000"/>
                <w:shd w:val="clear" w:color="auto" w:fill="FFFFFF"/>
                <w:lang w:val="en-GB"/>
              </w:rPr>
              <w:t xml:space="preserve">3.1. </w:t>
            </w:r>
            <w:r w:rsidR="00D33ABC" w:rsidRPr="00107B76">
              <w:rPr>
                <w:color w:val="000000"/>
                <w:shd w:val="clear" w:color="auto" w:fill="FFFFFF"/>
                <w:lang w:val="en-GB"/>
              </w:rPr>
              <w:t>Depreciation cost of new or second-hand equipment</w:t>
            </w:r>
            <w:r w:rsidR="00207DB9" w:rsidRPr="00107B76">
              <w:rPr>
                <w:color w:val="000000"/>
                <w:shd w:val="clear" w:color="auto" w:fill="FFFFFF"/>
                <w:lang w:val="en-GB"/>
              </w:rPr>
              <w:t xml:space="preserve"> (equipment, </w:t>
            </w:r>
            <w:r w:rsidR="00C237B7" w:rsidRPr="00107B76">
              <w:rPr>
                <w:color w:val="000000"/>
                <w:shd w:val="clear" w:color="auto" w:fill="FFFFFF"/>
                <w:lang w:val="en-GB"/>
              </w:rPr>
              <w:t xml:space="preserve">devices, </w:t>
            </w:r>
            <w:r w:rsidR="009C7B47" w:rsidRPr="00107B76">
              <w:rPr>
                <w:color w:val="000000"/>
                <w:shd w:val="clear" w:color="auto" w:fill="FFFFFF"/>
                <w:lang w:val="en-GB"/>
              </w:rPr>
              <w:t xml:space="preserve">tools, </w:t>
            </w:r>
            <w:r w:rsidR="0001399C" w:rsidRPr="00107B76">
              <w:rPr>
                <w:color w:val="000000"/>
                <w:shd w:val="clear" w:color="auto" w:fill="FFFFFF"/>
                <w:lang w:val="en-GB"/>
              </w:rPr>
              <w:t>machinery)</w:t>
            </w:r>
            <w:r w:rsidR="003A12F0" w:rsidRPr="00107B76">
              <w:rPr>
                <w:color w:val="000000"/>
                <w:shd w:val="clear" w:color="auto" w:fill="FFFFFF"/>
                <w:lang w:val="en-GB"/>
              </w:rPr>
              <w:t xml:space="preserve"> provided that </w:t>
            </w:r>
            <w:r w:rsidR="004D5CEC" w:rsidRPr="00107B76">
              <w:rPr>
                <w:lang w:val="en-GB"/>
              </w:rPr>
              <w:t xml:space="preserve">equipment </w:t>
            </w:r>
            <w:r w:rsidR="00F81DD5" w:rsidRPr="00107B76">
              <w:rPr>
                <w:lang w:val="en-GB"/>
              </w:rPr>
              <w:t>is depreciated</w:t>
            </w:r>
            <w:r w:rsidR="003200DA" w:rsidRPr="00107B76">
              <w:rPr>
                <w:lang w:val="en-GB"/>
              </w:rPr>
              <w:t xml:space="preserve"> in line with generally approved accounting principles applicable to a Project Promoter or partner as well as for similar equipment</w:t>
            </w:r>
            <w:r w:rsidR="004361F4">
              <w:rPr>
                <w:lang w:val="en-GB"/>
              </w:rPr>
              <w:t>.</w:t>
            </w:r>
          </w:p>
          <w:p w14:paraId="45B215FE" w14:textId="712A19D3" w:rsidR="00A402F9" w:rsidRPr="00107B76" w:rsidRDefault="00685595" w:rsidP="001D2A0D">
            <w:pPr>
              <w:ind w:firstLine="607"/>
              <w:jc w:val="both"/>
              <w:rPr>
                <w:rFonts w:eastAsia="Calibri"/>
                <w:lang w:val="en-GB"/>
              </w:rPr>
            </w:pPr>
            <w:r w:rsidRPr="00107B76">
              <w:rPr>
                <w:rFonts w:eastAsia="Calibri"/>
                <w:lang w:val="en-GB"/>
              </w:rPr>
              <w:t xml:space="preserve">3.2. </w:t>
            </w:r>
            <w:r w:rsidR="007A4615" w:rsidRPr="00107B76">
              <w:rPr>
                <w:rFonts w:eastAsia="Calibri"/>
                <w:lang w:val="en-GB"/>
              </w:rPr>
              <w:t xml:space="preserve">In </w:t>
            </w:r>
            <w:r w:rsidR="007A4615" w:rsidRPr="00107B76">
              <w:rPr>
                <w:lang w:val="en-GB"/>
              </w:rPr>
              <w:t>case the equipment is an integral and necessary component for achieving the outcomes of the project, the entire purchase price of a new equipment</w:t>
            </w:r>
            <w:r w:rsidR="00A778C7" w:rsidRPr="00107B76">
              <w:rPr>
                <w:lang w:val="en-GB"/>
              </w:rPr>
              <w:t xml:space="preserve"> </w:t>
            </w:r>
            <w:r w:rsidR="00CE0F7B" w:rsidRPr="00107B76">
              <w:rPr>
                <w:lang w:val="en-GB"/>
              </w:rPr>
              <w:t xml:space="preserve">may </w:t>
            </w:r>
            <w:r w:rsidR="007A4615" w:rsidRPr="00107B76">
              <w:rPr>
                <w:lang w:val="en-GB"/>
              </w:rPr>
              <w:t>be considered eligible</w:t>
            </w:r>
            <w:r w:rsidR="00421AC8" w:rsidRPr="00107B76">
              <w:rPr>
                <w:rFonts w:eastAsia="Calibri"/>
                <w:lang w:val="en-GB"/>
              </w:rPr>
              <w:t xml:space="preserve">. In this case a Project </w:t>
            </w:r>
            <w:r w:rsidR="00577EAF" w:rsidRPr="00107B76">
              <w:rPr>
                <w:rFonts w:eastAsia="Calibri"/>
                <w:lang w:val="en-GB"/>
              </w:rPr>
              <w:t>P</w:t>
            </w:r>
            <w:r w:rsidR="00421AC8" w:rsidRPr="00107B76">
              <w:rPr>
                <w:rFonts w:eastAsia="Calibri"/>
                <w:lang w:val="en-GB"/>
              </w:rPr>
              <w:t>romoter shall</w:t>
            </w:r>
            <w:r w:rsidR="00A402F9" w:rsidRPr="00107B76">
              <w:rPr>
                <w:rFonts w:eastAsia="Calibri"/>
                <w:lang w:val="en-GB"/>
              </w:rPr>
              <w:t>:</w:t>
            </w:r>
          </w:p>
          <w:p w14:paraId="300BD5BA" w14:textId="52F5FD42" w:rsidR="00A778C7" w:rsidRPr="00107B76" w:rsidRDefault="00F1429A">
            <w:pPr>
              <w:pStyle w:val="ListParagraph"/>
              <w:numPr>
                <w:ilvl w:val="2"/>
                <w:numId w:val="12"/>
              </w:numPr>
              <w:ind w:left="0" w:firstLine="607"/>
              <w:jc w:val="both"/>
              <w:rPr>
                <w:rFonts w:eastAsia="Calibri"/>
                <w:lang w:val="en-GB"/>
              </w:rPr>
            </w:pPr>
            <w:r w:rsidRPr="00107B76">
              <w:rPr>
                <w:rFonts w:eastAsia="Calibri"/>
                <w:lang w:val="en-GB"/>
              </w:rPr>
              <w:t>provide justification on the use of equipment and o</w:t>
            </w:r>
            <w:r w:rsidR="00A778C7" w:rsidRPr="00107B76">
              <w:rPr>
                <w:rFonts w:eastAsia="Calibri"/>
                <w:lang w:val="en-GB"/>
              </w:rPr>
              <w:t>btain MITA</w:t>
            </w:r>
            <w:r w:rsidRPr="00107B76">
              <w:rPr>
                <w:rFonts w:eastAsia="Calibri"/>
                <w:lang w:val="en-GB"/>
              </w:rPr>
              <w:t xml:space="preserve"> approval;</w:t>
            </w:r>
          </w:p>
          <w:p w14:paraId="58590AE2" w14:textId="51CDB75C" w:rsidR="002F53A5" w:rsidRPr="00107B76" w:rsidRDefault="00920165">
            <w:pPr>
              <w:pStyle w:val="ListParagraph"/>
              <w:numPr>
                <w:ilvl w:val="2"/>
                <w:numId w:val="12"/>
              </w:numPr>
              <w:ind w:left="0" w:firstLine="607"/>
              <w:jc w:val="both"/>
              <w:rPr>
                <w:rFonts w:eastAsia="Calibri"/>
                <w:lang w:val="en-GB"/>
              </w:rPr>
            </w:pPr>
            <w:r w:rsidRPr="00107B76">
              <w:rPr>
                <w:lang w:val="en-GB"/>
              </w:rPr>
              <w:t xml:space="preserve">keep the equipment in </w:t>
            </w:r>
            <w:r w:rsidR="00577EAF" w:rsidRPr="00107B76">
              <w:rPr>
                <w:lang w:val="en-GB"/>
              </w:rPr>
              <w:t>his</w:t>
            </w:r>
            <w:r w:rsidRPr="00107B76">
              <w:rPr>
                <w:lang w:val="en-GB"/>
              </w:rPr>
              <w:t xml:space="preserve"> ownership for a period of at least </w:t>
            </w:r>
            <w:r w:rsidR="00107B76">
              <w:rPr>
                <w:lang w:val="en-GB"/>
              </w:rPr>
              <w:t>5</w:t>
            </w:r>
            <w:r w:rsidRPr="00107B76">
              <w:rPr>
                <w:lang w:val="en-GB"/>
              </w:rPr>
              <w:t xml:space="preserve"> years following the completion of the project and continue to use </w:t>
            </w:r>
            <w:r w:rsidR="00A82FEF" w:rsidRPr="00107B76">
              <w:rPr>
                <w:lang w:val="en-GB"/>
              </w:rPr>
              <w:t>it</w:t>
            </w:r>
            <w:r w:rsidRPr="00107B76">
              <w:rPr>
                <w:lang w:val="en-GB"/>
              </w:rPr>
              <w:t xml:space="preserve"> for the benefit of the overall objectives of the project for the same period</w:t>
            </w:r>
            <w:r w:rsidR="00107B76">
              <w:rPr>
                <w:lang w:val="en-GB"/>
              </w:rPr>
              <w:t xml:space="preserve">. If the equipment is obtained by a </w:t>
            </w:r>
            <w:r w:rsidR="00A1371B">
              <w:rPr>
                <w:lang w:val="en-GB"/>
              </w:rPr>
              <w:t xml:space="preserve">Project </w:t>
            </w:r>
            <w:r w:rsidR="00107B76">
              <w:rPr>
                <w:lang w:val="en-GB"/>
              </w:rPr>
              <w:t xml:space="preserve">partner, a Project Promoter shall ensure that a partner fulfils the aforementioned </w:t>
            </w:r>
            <w:r w:rsidR="009F2FC1">
              <w:rPr>
                <w:lang w:val="en-GB"/>
              </w:rPr>
              <w:t>obligations</w:t>
            </w:r>
            <w:r w:rsidRPr="00107B76">
              <w:rPr>
                <w:lang w:val="en-GB"/>
              </w:rPr>
              <w:t>;</w:t>
            </w:r>
          </w:p>
          <w:p w14:paraId="57A3B71E" w14:textId="77777777" w:rsidR="00A1371B" w:rsidRPr="00A1371B" w:rsidRDefault="00577EAF" w:rsidP="00A1371B">
            <w:pPr>
              <w:pStyle w:val="ListParagraph"/>
              <w:numPr>
                <w:ilvl w:val="2"/>
                <w:numId w:val="12"/>
              </w:numPr>
              <w:ind w:left="0" w:firstLine="607"/>
              <w:jc w:val="both"/>
              <w:rPr>
                <w:rFonts w:eastAsia="Calibri"/>
                <w:lang w:val="en-GB"/>
              </w:rPr>
            </w:pPr>
            <w:r w:rsidRPr="00107B76">
              <w:rPr>
                <w:lang w:val="en-GB"/>
              </w:rPr>
              <w:t xml:space="preserve">ensure that </w:t>
            </w:r>
            <w:r w:rsidR="004A5D23" w:rsidRPr="00107B76">
              <w:rPr>
                <w:lang w:val="en-GB"/>
              </w:rPr>
              <w:t xml:space="preserve">the equipment </w:t>
            </w:r>
            <w:r w:rsidRPr="00107B76">
              <w:rPr>
                <w:lang w:val="en-GB"/>
              </w:rPr>
              <w:t xml:space="preserve">is </w:t>
            </w:r>
            <w:r w:rsidR="004A5D23" w:rsidRPr="00107B76">
              <w:rPr>
                <w:lang w:val="en-GB"/>
              </w:rPr>
              <w:t xml:space="preserve">properly insured </w:t>
            </w:r>
            <w:r w:rsidR="002F2D0A">
              <w:rPr>
                <w:lang w:val="en-GB"/>
              </w:rPr>
              <w:t>and maintained during implementation of a project and at least 5 years after completion of a project.</w:t>
            </w:r>
          </w:p>
          <w:p w14:paraId="021CB90B" w14:textId="76F06D67" w:rsidR="00A1371B" w:rsidRPr="001B2D48" w:rsidRDefault="00A1371B" w:rsidP="001B2D48">
            <w:pPr>
              <w:pStyle w:val="ListParagraph"/>
              <w:numPr>
                <w:ilvl w:val="1"/>
                <w:numId w:val="12"/>
              </w:numPr>
              <w:tabs>
                <w:tab w:val="left" w:pos="1172"/>
              </w:tabs>
              <w:ind w:left="38" w:firstLine="567"/>
              <w:jc w:val="both"/>
              <w:rPr>
                <w:rFonts w:eastAsia="Calibri"/>
                <w:lang w:val="en-GB"/>
              </w:rPr>
            </w:pPr>
            <w:r w:rsidRPr="00A1371B">
              <w:rPr>
                <w:rFonts w:eastAsia="Calibri"/>
                <w:lang w:val="en-GB"/>
              </w:rPr>
              <w:t>Equipment is defined as movable tangible assets, directly used to carry out an activity</w:t>
            </w:r>
            <w:r w:rsidR="001B2D48">
              <w:rPr>
                <w:rFonts w:eastAsia="Calibri"/>
                <w:lang w:val="en-GB"/>
              </w:rPr>
              <w:t>,</w:t>
            </w:r>
            <w:r w:rsidRPr="00A1371B">
              <w:rPr>
                <w:rFonts w:eastAsia="Calibri"/>
                <w:lang w:val="en-GB"/>
              </w:rPr>
              <w:t xml:space="preserve"> </w:t>
            </w:r>
            <w:r w:rsidR="001B2D48">
              <w:rPr>
                <w:rFonts w:eastAsia="Calibri"/>
                <w:lang w:val="en-GB"/>
              </w:rPr>
              <w:t xml:space="preserve">such as movable and immovable property, tools necessary for performing work, mechanisms, apparatus and sets of devices, when the following criteria are met: </w:t>
            </w:r>
            <w:r w:rsidRPr="001B2D48">
              <w:rPr>
                <w:rFonts w:eastAsia="Calibri"/>
                <w:lang w:val="en-GB"/>
              </w:rPr>
              <w:t>when used as intended, the useful life of assets is longer than one year, used assets retain their original form and appearance; in case assets are damaged, their parts are lost or worn out, it is more appropriate to fix rather than replace the existing assets with new ones; assets do not lose their functional identity (capacity to perform functions) even if integrated into a more intricate unit.</w:t>
            </w:r>
          </w:p>
          <w:p w14:paraId="6A463632" w14:textId="2DCE77C4" w:rsidR="00F267B7" w:rsidRPr="00107B76" w:rsidRDefault="00F267B7" w:rsidP="00411E28">
            <w:pPr>
              <w:tabs>
                <w:tab w:val="left" w:pos="1174"/>
                <w:tab w:val="left" w:pos="1316"/>
              </w:tabs>
              <w:jc w:val="both"/>
              <w:rPr>
                <w:rFonts w:eastAsia="Calibri"/>
                <w:lang w:val="en-GB"/>
              </w:rPr>
            </w:pPr>
          </w:p>
        </w:tc>
      </w:tr>
      <w:tr w:rsidR="00A402F9" w:rsidRPr="00107B76" w14:paraId="4D883C0F" w14:textId="77777777" w:rsidTr="00D64857">
        <w:tc>
          <w:tcPr>
            <w:tcW w:w="887" w:type="dxa"/>
            <w:gridSpan w:val="2"/>
            <w:shd w:val="clear" w:color="auto" w:fill="FFFFFF" w:themeFill="background1"/>
            <w:tcMar>
              <w:top w:w="0" w:type="dxa"/>
              <w:left w:w="108" w:type="dxa"/>
              <w:bottom w:w="0" w:type="dxa"/>
              <w:right w:w="108" w:type="dxa"/>
            </w:tcMar>
            <w:vAlign w:val="center"/>
            <w:hideMark/>
          </w:tcPr>
          <w:p w14:paraId="08A1A8FA" w14:textId="2C38FCE4" w:rsidR="00A402F9" w:rsidRPr="00107B76" w:rsidRDefault="00A402F9" w:rsidP="00D64857">
            <w:pPr>
              <w:shd w:val="clear" w:color="auto" w:fill="FFFFFF" w:themeFill="background1"/>
              <w:rPr>
                <w:lang w:val="en-GB" w:eastAsia="lt-LT"/>
              </w:rPr>
            </w:pPr>
          </w:p>
        </w:tc>
        <w:tc>
          <w:tcPr>
            <w:tcW w:w="1830" w:type="dxa"/>
            <w:shd w:val="clear" w:color="auto" w:fill="FFFFFF" w:themeFill="background1"/>
            <w:tcMar>
              <w:top w:w="0" w:type="dxa"/>
              <w:left w:w="108" w:type="dxa"/>
              <w:bottom w:w="0" w:type="dxa"/>
              <w:right w:w="108" w:type="dxa"/>
            </w:tcMar>
            <w:vAlign w:val="center"/>
            <w:hideMark/>
          </w:tcPr>
          <w:p w14:paraId="3CDC379E" w14:textId="3F772131" w:rsidR="00A402F9" w:rsidRPr="00107B76" w:rsidRDefault="00B322BE" w:rsidP="00D64857">
            <w:pPr>
              <w:shd w:val="clear" w:color="auto" w:fill="FFFFFF" w:themeFill="background1"/>
              <w:ind w:left="34"/>
              <w:rPr>
                <w:lang w:val="en-GB" w:eastAsia="lt-LT"/>
              </w:rPr>
            </w:pPr>
            <w:r w:rsidRPr="00107B76">
              <w:rPr>
                <w:lang w:val="en-GB" w:eastAsia="lt-LT"/>
              </w:rPr>
              <w:t xml:space="preserve">Goods </w:t>
            </w:r>
            <w:r w:rsidR="00BE335A" w:rsidRPr="00107B76">
              <w:rPr>
                <w:lang w:val="en-GB" w:eastAsia="lt-LT"/>
              </w:rPr>
              <w:t>(current assets) an</w:t>
            </w:r>
            <w:r w:rsidR="00C50B66" w:rsidRPr="00107B76">
              <w:rPr>
                <w:lang w:val="en-GB" w:eastAsia="lt-LT"/>
              </w:rPr>
              <w:t>d services</w:t>
            </w:r>
          </w:p>
        </w:tc>
        <w:tc>
          <w:tcPr>
            <w:tcW w:w="6809" w:type="dxa"/>
            <w:shd w:val="clear" w:color="auto" w:fill="FFFFFF" w:themeFill="background1"/>
            <w:tcMar>
              <w:top w:w="0" w:type="dxa"/>
              <w:left w:w="108" w:type="dxa"/>
              <w:bottom w:w="0" w:type="dxa"/>
              <w:right w:w="108" w:type="dxa"/>
            </w:tcMar>
            <w:vAlign w:val="center"/>
            <w:hideMark/>
          </w:tcPr>
          <w:p w14:paraId="674E7619" w14:textId="2801B4C9" w:rsidR="00A402F9" w:rsidRPr="00107B76" w:rsidRDefault="00CD216E" w:rsidP="00D64857">
            <w:pPr>
              <w:pStyle w:val="ListParagraph"/>
              <w:numPr>
                <w:ilvl w:val="0"/>
                <w:numId w:val="5"/>
              </w:numPr>
              <w:shd w:val="clear" w:color="auto" w:fill="FFFFFF" w:themeFill="background1"/>
              <w:tabs>
                <w:tab w:val="left" w:pos="891"/>
              </w:tabs>
              <w:ind w:left="0" w:firstLine="607"/>
              <w:jc w:val="both"/>
              <w:rPr>
                <w:color w:val="000000"/>
                <w:shd w:val="clear" w:color="auto" w:fill="FFFFFF"/>
                <w:lang w:val="en-GB"/>
              </w:rPr>
            </w:pPr>
            <w:r w:rsidRPr="00107B76">
              <w:rPr>
                <w:color w:val="000000"/>
                <w:shd w:val="clear" w:color="auto" w:fill="FFFFFF"/>
                <w:lang w:val="en-GB"/>
              </w:rPr>
              <w:t>E</w:t>
            </w:r>
            <w:r w:rsidR="00331A03" w:rsidRPr="00107B76">
              <w:rPr>
                <w:color w:val="000000"/>
                <w:shd w:val="clear" w:color="auto" w:fill="FFFFFF"/>
                <w:lang w:val="en-GB"/>
              </w:rPr>
              <w:t>l</w:t>
            </w:r>
            <w:r w:rsidRPr="00107B76">
              <w:rPr>
                <w:color w:val="000000"/>
                <w:shd w:val="clear" w:color="auto" w:fill="FFFFFF"/>
                <w:lang w:val="en-GB"/>
              </w:rPr>
              <w:t>igible expenses are</w:t>
            </w:r>
            <w:r w:rsidR="00835EAC" w:rsidRPr="00107B76">
              <w:rPr>
                <w:color w:val="000000"/>
                <w:shd w:val="clear" w:color="auto" w:fill="FFFFFF"/>
                <w:lang w:val="en-GB"/>
              </w:rPr>
              <w:t xml:space="preserve"> as follows:</w:t>
            </w:r>
          </w:p>
          <w:p w14:paraId="481584C8" w14:textId="04FD97D4" w:rsidR="00A402F9" w:rsidRPr="00107B76" w:rsidRDefault="00D01D69" w:rsidP="00D64857">
            <w:pPr>
              <w:pStyle w:val="ListParagraph"/>
              <w:numPr>
                <w:ilvl w:val="1"/>
                <w:numId w:val="5"/>
              </w:numPr>
              <w:shd w:val="clear" w:color="auto" w:fill="FFFFFF" w:themeFill="background1"/>
              <w:tabs>
                <w:tab w:val="left" w:pos="891"/>
                <w:tab w:val="left" w:pos="1032"/>
              </w:tabs>
              <w:ind w:left="0" w:firstLine="607"/>
              <w:contextualSpacing w:val="0"/>
              <w:jc w:val="both"/>
              <w:rPr>
                <w:rFonts w:eastAsia="Calibri"/>
                <w:lang w:val="en-GB"/>
              </w:rPr>
            </w:pPr>
            <w:r w:rsidRPr="00107B76">
              <w:rPr>
                <w:rFonts w:eastAsia="Calibri"/>
                <w:lang w:val="en-GB"/>
              </w:rPr>
              <w:t xml:space="preserve">Costs </w:t>
            </w:r>
            <w:r w:rsidR="00162D1A" w:rsidRPr="00107B76">
              <w:rPr>
                <w:rFonts w:eastAsia="Calibri"/>
                <w:lang w:val="en-GB"/>
              </w:rPr>
              <w:t>of consumables and supplies provided that they are identifiable and assigned to the project.</w:t>
            </w:r>
          </w:p>
          <w:p w14:paraId="4C5AD47A" w14:textId="64D56355" w:rsidR="00B0338F" w:rsidRPr="00107B76" w:rsidRDefault="003340CF" w:rsidP="00D64857">
            <w:pPr>
              <w:pStyle w:val="ListParagraph"/>
              <w:numPr>
                <w:ilvl w:val="1"/>
                <w:numId w:val="5"/>
              </w:numPr>
              <w:shd w:val="clear" w:color="auto" w:fill="FFFFFF" w:themeFill="background1"/>
              <w:tabs>
                <w:tab w:val="left" w:pos="891"/>
                <w:tab w:val="left" w:pos="1032"/>
              </w:tabs>
              <w:ind w:left="0" w:firstLine="607"/>
              <w:contextualSpacing w:val="0"/>
              <w:jc w:val="both"/>
              <w:rPr>
                <w:rFonts w:eastAsia="Calibri"/>
                <w:lang w:val="en-GB"/>
              </w:rPr>
            </w:pPr>
            <w:r w:rsidRPr="00107B76">
              <w:rPr>
                <w:rFonts w:eastAsia="Calibri"/>
                <w:lang w:val="en-GB"/>
              </w:rPr>
              <w:t>C</w:t>
            </w:r>
            <w:r w:rsidR="000C4C59" w:rsidRPr="00107B76">
              <w:rPr>
                <w:rFonts w:eastAsia="Calibri"/>
                <w:lang w:val="en-GB"/>
              </w:rPr>
              <w:t>osts</w:t>
            </w:r>
            <w:r w:rsidR="00A402F9" w:rsidRPr="00107B76">
              <w:rPr>
                <w:rFonts w:eastAsia="Calibri"/>
                <w:lang w:val="en-GB"/>
              </w:rPr>
              <w:t xml:space="preserve"> </w:t>
            </w:r>
            <w:r w:rsidR="00C46513" w:rsidRPr="00107B76">
              <w:rPr>
                <w:lang w:val="en-GB"/>
              </w:rPr>
              <w:t>resulting from</w:t>
            </w:r>
            <w:r w:rsidR="000C4C59" w:rsidRPr="00107B76">
              <w:rPr>
                <w:lang w:val="en-GB"/>
              </w:rPr>
              <w:t xml:space="preserve"> other contracts</w:t>
            </w:r>
            <w:r w:rsidRPr="00107B76">
              <w:rPr>
                <w:lang w:val="en-GB"/>
              </w:rPr>
              <w:t xml:space="preserve">, which a </w:t>
            </w:r>
            <w:r w:rsidR="000C4C59" w:rsidRPr="00107B76">
              <w:rPr>
                <w:lang w:val="en-GB"/>
              </w:rPr>
              <w:t xml:space="preserve">Project </w:t>
            </w:r>
            <w:r w:rsidR="00CE0F7B" w:rsidRPr="00107B76">
              <w:rPr>
                <w:lang w:val="en-GB"/>
              </w:rPr>
              <w:t>p</w:t>
            </w:r>
            <w:r w:rsidR="000C4C59" w:rsidRPr="00107B76">
              <w:rPr>
                <w:lang w:val="en-GB"/>
              </w:rPr>
              <w:t>romoter</w:t>
            </w:r>
            <w:r w:rsidRPr="00107B76">
              <w:rPr>
                <w:lang w:val="en-GB"/>
              </w:rPr>
              <w:t xml:space="preserve"> </w:t>
            </w:r>
            <w:r w:rsidR="00CE0F7B" w:rsidRPr="00107B76">
              <w:rPr>
                <w:lang w:val="en-GB"/>
              </w:rPr>
              <w:t xml:space="preserve">or a Project partner </w:t>
            </w:r>
            <w:r w:rsidRPr="00107B76">
              <w:rPr>
                <w:lang w:val="en-GB"/>
              </w:rPr>
              <w:t>concluded</w:t>
            </w:r>
            <w:r w:rsidR="000C4C59" w:rsidRPr="00107B76">
              <w:rPr>
                <w:lang w:val="en-GB"/>
              </w:rPr>
              <w:t xml:space="preserve"> for the purposes of carrying out </w:t>
            </w:r>
            <w:r w:rsidR="00B434B1" w:rsidRPr="00107B76">
              <w:rPr>
                <w:lang w:val="en-GB"/>
              </w:rPr>
              <w:t>a</w:t>
            </w:r>
            <w:r w:rsidR="000C4C59" w:rsidRPr="00107B76">
              <w:rPr>
                <w:lang w:val="en-GB"/>
              </w:rPr>
              <w:t xml:space="preserve"> project, provided that </w:t>
            </w:r>
            <w:r w:rsidRPr="00107B76">
              <w:rPr>
                <w:lang w:val="en-GB"/>
              </w:rPr>
              <w:t>such contracts are concluded</w:t>
            </w:r>
            <w:r w:rsidR="000C4C59" w:rsidRPr="00107B76">
              <w:rPr>
                <w:lang w:val="en-GB"/>
              </w:rPr>
              <w:t xml:space="preserve"> </w:t>
            </w:r>
            <w:r w:rsidRPr="00107B76">
              <w:rPr>
                <w:lang w:val="en-GB"/>
              </w:rPr>
              <w:t>in line with</w:t>
            </w:r>
            <w:r w:rsidR="0013616C" w:rsidRPr="00107B76">
              <w:rPr>
                <w:lang w:val="en-GB"/>
              </w:rPr>
              <w:t>:</w:t>
            </w:r>
            <w:r w:rsidR="000C4C59" w:rsidRPr="00107B76">
              <w:rPr>
                <w:lang w:val="en-GB"/>
              </w:rPr>
              <w:t xml:space="preserve"> </w:t>
            </w:r>
          </w:p>
          <w:p w14:paraId="74998F9D" w14:textId="12DB8A37" w:rsidR="00E04FC7" w:rsidRPr="00107B76" w:rsidRDefault="00490065" w:rsidP="00D64857">
            <w:pPr>
              <w:pStyle w:val="ListParagraph"/>
              <w:numPr>
                <w:ilvl w:val="2"/>
                <w:numId w:val="5"/>
              </w:numPr>
              <w:shd w:val="clear" w:color="auto" w:fill="FFFFFF" w:themeFill="background1"/>
              <w:tabs>
                <w:tab w:val="left" w:pos="891"/>
                <w:tab w:val="left" w:pos="1032"/>
              </w:tabs>
              <w:ind w:left="0" w:firstLine="607"/>
              <w:contextualSpacing w:val="0"/>
              <w:jc w:val="both"/>
              <w:rPr>
                <w:rFonts w:eastAsia="Calibri"/>
                <w:lang w:val="en-GB"/>
              </w:rPr>
            </w:pPr>
            <w:r w:rsidRPr="00107B76">
              <w:rPr>
                <w:rFonts w:eastAsia="Calibri"/>
                <w:lang w:val="en-GB"/>
              </w:rPr>
              <w:t xml:space="preserve">Law of the Republic of Lithuania on </w:t>
            </w:r>
            <w:r w:rsidR="00B434B1" w:rsidRPr="00107B76">
              <w:rPr>
                <w:rFonts w:eastAsia="Calibri"/>
                <w:lang w:val="en-GB"/>
              </w:rPr>
              <w:t>P</w:t>
            </w:r>
            <w:r w:rsidRPr="00107B76">
              <w:rPr>
                <w:rFonts w:eastAsia="Calibri"/>
                <w:lang w:val="en-GB"/>
              </w:rPr>
              <w:t xml:space="preserve">ublic </w:t>
            </w:r>
            <w:r w:rsidR="00B434B1" w:rsidRPr="00107B76">
              <w:rPr>
                <w:rFonts w:eastAsia="Calibri"/>
                <w:lang w:val="en-GB"/>
              </w:rPr>
              <w:t>P</w:t>
            </w:r>
            <w:r w:rsidR="00A82FEF" w:rsidRPr="00107B76">
              <w:rPr>
                <w:rFonts w:eastAsia="Calibri"/>
                <w:lang w:val="en-GB"/>
              </w:rPr>
              <w:t>r</w:t>
            </w:r>
            <w:r w:rsidRPr="00107B76">
              <w:rPr>
                <w:rFonts w:eastAsia="Calibri"/>
                <w:lang w:val="en-GB"/>
              </w:rPr>
              <w:t xml:space="preserve">ocurement and provisions of the </w:t>
            </w:r>
            <w:r w:rsidR="00E535AA">
              <w:rPr>
                <w:rFonts w:eastAsia="Calibri"/>
                <w:lang w:val="en-GB"/>
              </w:rPr>
              <w:t>National Rules</w:t>
            </w:r>
            <w:r w:rsidRPr="00107B76">
              <w:rPr>
                <w:rFonts w:eastAsia="Calibri"/>
                <w:lang w:val="en-GB"/>
              </w:rPr>
              <w:t>. A partner from Norway shall comply with the law on the public procurement of the Kingdom of Norway and provisions of the Regulatio</w:t>
            </w:r>
            <w:r w:rsidR="008A4698" w:rsidRPr="00107B76">
              <w:rPr>
                <w:rFonts w:eastAsia="Calibri"/>
                <w:lang w:val="en-GB"/>
              </w:rPr>
              <w:t>n</w:t>
            </w:r>
            <w:r w:rsidR="00665380" w:rsidRPr="00107B76">
              <w:rPr>
                <w:rFonts w:eastAsia="Calibri"/>
                <w:lang w:val="en-GB"/>
              </w:rPr>
              <w:t>.</w:t>
            </w:r>
          </w:p>
          <w:p w14:paraId="6CAA31D9" w14:textId="35CC9F4C" w:rsidR="000F6ACF" w:rsidRPr="00107B76" w:rsidRDefault="007312F1" w:rsidP="00D64857">
            <w:pPr>
              <w:pStyle w:val="ListParagraph"/>
              <w:numPr>
                <w:ilvl w:val="3"/>
                <w:numId w:val="5"/>
              </w:numPr>
              <w:shd w:val="clear" w:color="auto" w:fill="FFFFFF" w:themeFill="background1"/>
              <w:tabs>
                <w:tab w:val="left" w:pos="891"/>
                <w:tab w:val="left" w:pos="1032"/>
                <w:tab w:val="left" w:pos="1316"/>
                <w:tab w:val="left" w:pos="1458"/>
              </w:tabs>
              <w:ind w:left="0" w:firstLine="607"/>
              <w:contextualSpacing w:val="0"/>
              <w:jc w:val="both"/>
              <w:rPr>
                <w:rFonts w:eastAsia="Calibri"/>
                <w:lang w:val="en-GB"/>
              </w:rPr>
            </w:pPr>
            <w:r w:rsidRPr="00107B76">
              <w:rPr>
                <w:rFonts w:eastAsia="Calibri"/>
                <w:lang w:val="en-GB"/>
              </w:rPr>
              <w:t>If a Project Promoter</w:t>
            </w:r>
            <w:r w:rsidR="00B86822" w:rsidRPr="00107B76">
              <w:rPr>
                <w:rFonts w:eastAsia="Calibri"/>
                <w:lang w:val="en-GB"/>
              </w:rPr>
              <w:t xml:space="preserve"> or a partner from Lithuania</w:t>
            </w:r>
            <w:r w:rsidRPr="00107B76">
              <w:rPr>
                <w:rFonts w:eastAsia="Calibri"/>
                <w:lang w:val="en-GB"/>
              </w:rPr>
              <w:t xml:space="preserve"> is not</w:t>
            </w:r>
            <w:r w:rsidR="00FC1018" w:rsidRPr="00107B76">
              <w:rPr>
                <w:rFonts w:eastAsia="Calibri"/>
                <w:lang w:val="en-GB"/>
              </w:rPr>
              <w:t xml:space="preserve"> </w:t>
            </w:r>
            <w:r w:rsidRPr="00107B76">
              <w:rPr>
                <w:rFonts w:eastAsia="Calibri"/>
                <w:lang w:val="en-GB"/>
              </w:rPr>
              <w:t xml:space="preserve">a </w:t>
            </w:r>
            <w:r w:rsidR="00FC1018" w:rsidRPr="00107B76">
              <w:rPr>
                <w:rFonts w:eastAsia="Calibri"/>
                <w:lang w:val="en-GB"/>
              </w:rPr>
              <w:t xml:space="preserve">contracting </w:t>
            </w:r>
            <w:r w:rsidR="00D63B53" w:rsidRPr="00107B76">
              <w:rPr>
                <w:rFonts w:eastAsia="Calibri"/>
                <w:lang w:val="en-GB"/>
              </w:rPr>
              <w:t>authority,</w:t>
            </w:r>
            <w:r w:rsidR="00310A79" w:rsidRPr="00107B76">
              <w:rPr>
                <w:rFonts w:eastAsia="Calibri"/>
                <w:lang w:val="en-GB"/>
              </w:rPr>
              <w:t xml:space="preserve"> „</w:t>
            </w:r>
            <w:r w:rsidR="00310A79" w:rsidRPr="00107B76">
              <w:rPr>
                <w:color w:val="000000"/>
                <w:shd w:val="clear" w:color="auto" w:fill="FFFFFF"/>
                <w:lang w:val="en-GB"/>
              </w:rPr>
              <w:t>Procedures for Monitoring of Procurements for Projects Under 2014-2021 EEA and Norway Grants and Bilateral Fund and Conducting Procurements by Non-</w:t>
            </w:r>
            <w:r w:rsidR="00080D1A" w:rsidRPr="00107B76">
              <w:rPr>
                <w:color w:val="000000"/>
                <w:shd w:val="clear" w:color="auto" w:fill="FFFFFF"/>
                <w:lang w:val="en-GB"/>
              </w:rPr>
              <w:t>Contracting</w:t>
            </w:r>
            <w:r w:rsidR="00310A79" w:rsidRPr="00107B76">
              <w:rPr>
                <w:color w:val="000000"/>
                <w:shd w:val="clear" w:color="auto" w:fill="FFFFFF"/>
                <w:lang w:val="en-GB"/>
              </w:rPr>
              <w:t xml:space="preserve"> and </w:t>
            </w:r>
            <w:r w:rsidR="00080D1A" w:rsidRPr="00107B76">
              <w:rPr>
                <w:color w:val="000000"/>
                <w:shd w:val="clear" w:color="auto" w:fill="FFFFFF"/>
                <w:lang w:val="en-GB"/>
              </w:rPr>
              <w:t>Contracting</w:t>
            </w:r>
            <w:r w:rsidR="00310A79" w:rsidRPr="00107B76">
              <w:rPr>
                <w:color w:val="000000"/>
                <w:shd w:val="clear" w:color="auto" w:fill="FFFFFF"/>
                <w:lang w:val="en-GB"/>
              </w:rPr>
              <w:t xml:space="preserve"> Authorities Under R</w:t>
            </w:r>
            <w:r w:rsidR="00B624DD" w:rsidRPr="00107B76">
              <w:rPr>
                <w:color w:val="000000"/>
                <w:shd w:val="clear" w:color="auto" w:fill="FFFFFF"/>
                <w:lang w:val="en-GB"/>
              </w:rPr>
              <w:t>e</w:t>
            </w:r>
            <w:r w:rsidR="00310A79" w:rsidRPr="00107B76">
              <w:rPr>
                <w:color w:val="000000"/>
                <w:shd w:val="clear" w:color="auto" w:fill="FFFFFF"/>
                <w:lang w:val="en-GB"/>
              </w:rPr>
              <w:t>gulations</w:t>
            </w:r>
            <w:r w:rsidR="005513B5" w:rsidRPr="00107B76">
              <w:rPr>
                <w:color w:val="000000"/>
                <w:shd w:val="clear" w:color="auto" w:fill="FFFFFF"/>
                <w:lang w:val="en-GB"/>
              </w:rPr>
              <w:t xml:space="preserve">” </w:t>
            </w:r>
            <w:r w:rsidR="00B97DF9" w:rsidRPr="00107B76">
              <w:rPr>
                <w:color w:val="000000"/>
                <w:shd w:val="clear" w:color="auto" w:fill="FFFFFF"/>
                <w:lang w:val="en-GB"/>
              </w:rPr>
              <w:t xml:space="preserve">approved by </w:t>
            </w:r>
            <w:r w:rsidR="00080D1A" w:rsidRPr="00107B76">
              <w:rPr>
                <w:color w:val="000000"/>
                <w:shd w:val="clear" w:color="auto" w:fill="FFFFFF"/>
                <w:lang w:val="en-GB"/>
              </w:rPr>
              <w:t xml:space="preserve">the </w:t>
            </w:r>
            <w:r w:rsidR="00D36F8D" w:rsidRPr="00107B76">
              <w:rPr>
                <w:color w:val="000000"/>
                <w:shd w:val="clear" w:color="auto" w:fill="FFFFFF"/>
                <w:lang w:val="en-GB"/>
              </w:rPr>
              <w:t xml:space="preserve">order of </w:t>
            </w:r>
            <w:r w:rsidR="00CC2F18" w:rsidRPr="00107B76">
              <w:rPr>
                <w:color w:val="000000"/>
                <w:shd w:val="clear" w:color="auto" w:fill="FFFFFF"/>
                <w:lang w:val="en-GB"/>
              </w:rPr>
              <w:t xml:space="preserve">the Director of Central </w:t>
            </w:r>
            <w:r w:rsidR="00D36F8D" w:rsidRPr="00107B76">
              <w:rPr>
                <w:color w:val="000000"/>
                <w:shd w:val="clear" w:color="auto" w:fill="FFFFFF"/>
                <w:lang w:val="en-GB"/>
              </w:rPr>
              <w:t>P</w:t>
            </w:r>
            <w:r w:rsidR="00CC2F18" w:rsidRPr="00107B76">
              <w:rPr>
                <w:color w:val="000000"/>
                <w:shd w:val="clear" w:color="auto" w:fill="FFFFFF"/>
                <w:lang w:val="en-GB"/>
              </w:rPr>
              <w:t xml:space="preserve">roject Management </w:t>
            </w:r>
            <w:r w:rsidR="00D36F8D" w:rsidRPr="00107B76">
              <w:rPr>
                <w:color w:val="000000"/>
                <w:shd w:val="clear" w:color="auto" w:fill="FFFFFF"/>
                <w:lang w:val="en-GB"/>
              </w:rPr>
              <w:t>Agency</w:t>
            </w:r>
            <w:r w:rsidR="00080D1A" w:rsidRPr="00107B76">
              <w:rPr>
                <w:color w:val="000000"/>
                <w:shd w:val="clear" w:color="auto" w:fill="FFFFFF"/>
                <w:lang w:val="en-GB"/>
              </w:rPr>
              <w:t xml:space="preserve"> No.</w:t>
            </w:r>
            <w:r w:rsidR="00BF485E" w:rsidRPr="00107B76">
              <w:rPr>
                <w:color w:val="000000"/>
                <w:shd w:val="clear" w:color="auto" w:fill="FFFFFF"/>
                <w:lang w:val="en-GB"/>
              </w:rPr>
              <w:t xml:space="preserve"> 2019/8-172</w:t>
            </w:r>
            <w:r w:rsidR="00CC2F18" w:rsidRPr="00107B76">
              <w:rPr>
                <w:color w:val="000000"/>
                <w:shd w:val="clear" w:color="auto" w:fill="FFFFFF"/>
                <w:lang w:val="en-GB"/>
              </w:rPr>
              <w:t xml:space="preserve"> </w:t>
            </w:r>
            <w:r w:rsidR="00376D7C" w:rsidRPr="00107B76">
              <w:rPr>
                <w:color w:val="000000"/>
                <w:shd w:val="clear" w:color="auto" w:fill="FFFFFF"/>
                <w:lang w:val="en-GB"/>
              </w:rPr>
              <w:t xml:space="preserve">of </w:t>
            </w:r>
            <w:r w:rsidR="0099372C" w:rsidRPr="00107B76">
              <w:rPr>
                <w:color w:val="000000"/>
                <w:shd w:val="clear" w:color="auto" w:fill="FFFFFF"/>
                <w:lang w:val="en-GB"/>
              </w:rPr>
              <w:t>8 July 2019</w:t>
            </w:r>
            <w:r w:rsidR="000B4F8D" w:rsidRPr="00107B76">
              <w:rPr>
                <w:color w:val="000000"/>
                <w:shd w:val="clear" w:color="auto" w:fill="FFFFFF"/>
                <w:lang w:val="en-GB"/>
              </w:rPr>
              <w:t xml:space="preserve"> shall be applicable</w:t>
            </w:r>
            <w:r w:rsidR="00A82FEF" w:rsidRPr="00107B76">
              <w:rPr>
                <w:color w:val="000000"/>
                <w:shd w:val="clear" w:color="auto" w:fill="FFFFFF"/>
                <w:lang w:val="en-GB"/>
              </w:rPr>
              <w:t>.</w:t>
            </w:r>
          </w:p>
          <w:p w14:paraId="7C93D57A" w14:textId="77698D91" w:rsidR="00A402F9" w:rsidRPr="00107B76" w:rsidRDefault="00E535AA" w:rsidP="00D64857">
            <w:pPr>
              <w:pStyle w:val="ListParagraph"/>
              <w:numPr>
                <w:ilvl w:val="1"/>
                <w:numId w:val="5"/>
              </w:numPr>
              <w:shd w:val="clear" w:color="auto" w:fill="FFFFFF" w:themeFill="background1"/>
              <w:tabs>
                <w:tab w:val="left" w:pos="891"/>
                <w:tab w:val="left" w:pos="1032"/>
              </w:tabs>
              <w:ind w:left="0" w:firstLine="607"/>
              <w:contextualSpacing w:val="0"/>
              <w:jc w:val="both"/>
              <w:rPr>
                <w:rFonts w:eastAsia="Calibri"/>
                <w:lang w:val="en-GB"/>
              </w:rPr>
            </w:pPr>
            <w:r>
              <w:rPr>
                <w:rFonts w:eastAsia="Calibri"/>
                <w:lang w:val="en-GB"/>
              </w:rPr>
              <w:t>Other expenses, including</w:t>
            </w:r>
            <w:r w:rsidR="00286C13" w:rsidRPr="00107B76">
              <w:rPr>
                <w:rFonts w:eastAsia="Calibri"/>
                <w:lang w:val="en-GB"/>
              </w:rPr>
              <w:t>:</w:t>
            </w:r>
          </w:p>
          <w:p w14:paraId="088F6B7A" w14:textId="5546AC97" w:rsidR="00E15249" w:rsidRPr="00107B76" w:rsidRDefault="00407B7C" w:rsidP="00D64857">
            <w:pPr>
              <w:pStyle w:val="ListParagraph"/>
              <w:numPr>
                <w:ilvl w:val="2"/>
                <w:numId w:val="5"/>
              </w:numPr>
              <w:shd w:val="clear" w:color="auto" w:fill="FFFFFF" w:themeFill="background1"/>
              <w:ind w:left="0" w:firstLine="601"/>
              <w:contextualSpacing w:val="0"/>
              <w:jc w:val="both"/>
              <w:rPr>
                <w:rFonts w:eastAsia="Calibri"/>
                <w:lang w:val="en-GB"/>
              </w:rPr>
            </w:pPr>
            <w:r w:rsidRPr="00107B76">
              <w:rPr>
                <w:rFonts w:eastAsia="Calibri"/>
                <w:lang w:val="en-GB"/>
              </w:rPr>
              <w:lastRenderedPageBreak/>
              <w:t>a</w:t>
            </w:r>
            <w:r w:rsidR="00E15249" w:rsidRPr="00107B76">
              <w:rPr>
                <w:rFonts w:eastAsia="Calibri"/>
                <w:lang w:val="en-GB"/>
              </w:rPr>
              <w:t xml:space="preserve">cquisition of </w:t>
            </w:r>
            <w:r w:rsidR="001D502E" w:rsidRPr="00107B76">
              <w:rPr>
                <w:rFonts w:eastAsia="Calibri"/>
                <w:lang w:val="en-GB"/>
              </w:rPr>
              <w:t xml:space="preserve">R&amp;D services </w:t>
            </w:r>
            <w:r w:rsidR="00F630A8" w:rsidRPr="00107B76">
              <w:rPr>
                <w:rFonts w:eastAsia="Calibri"/>
                <w:lang w:val="en-GB"/>
              </w:rPr>
              <w:t xml:space="preserve">from external sources </w:t>
            </w:r>
            <w:r w:rsidR="00EF0565" w:rsidRPr="00107B76">
              <w:rPr>
                <w:rFonts w:eastAsia="Calibri"/>
                <w:lang w:val="en-GB"/>
              </w:rPr>
              <w:t>under normal market conditions (</w:t>
            </w:r>
            <w:r w:rsidR="00E93435" w:rsidRPr="00107B76">
              <w:rPr>
                <w:rFonts w:eastAsia="Calibri"/>
                <w:lang w:val="en-GB"/>
              </w:rPr>
              <w:t xml:space="preserve">i.e. when </w:t>
            </w:r>
            <w:r w:rsidR="002D57F9" w:rsidRPr="00107B76">
              <w:rPr>
                <w:rFonts w:eastAsia="Calibri"/>
                <w:lang w:val="en-GB"/>
              </w:rPr>
              <w:t xml:space="preserve">they are </w:t>
            </w:r>
            <w:r w:rsidR="007525DD" w:rsidRPr="00107B76">
              <w:rPr>
                <w:rFonts w:eastAsia="Calibri"/>
                <w:lang w:val="en-GB"/>
              </w:rPr>
              <w:t>pur</w:t>
            </w:r>
            <w:r w:rsidR="009571B8" w:rsidRPr="00107B76">
              <w:rPr>
                <w:rFonts w:eastAsia="Calibri"/>
                <w:lang w:val="en-GB"/>
              </w:rPr>
              <w:t>c</w:t>
            </w:r>
            <w:r w:rsidR="007525DD" w:rsidRPr="00107B76">
              <w:rPr>
                <w:rFonts w:eastAsia="Calibri"/>
                <w:lang w:val="en-GB"/>
              </w:rPr>
              <w:t>hased</w:t>
            </w:r>
            <w:r w:rsidR="002D57F9" w:rsidRPr="00107B76">
              <w:rPr>
                <w:rFonts w:eastAsia="Calibri"/>
                <w:lang w:val="en-GB"/>
              </w:rPr>
              <w:t xml:space="preserve"> from th</w:t>
            </w:r>
            <w:r w:rsidR="00527117" w:rsidRPr="00107B76">
              <w:rPr>
                <w:rFonts w:eastAsia="Calibri"/>
                <w:lang w:val="en-GB"/>
              </w:rPr>
              <w:t>e</w:t>
            </w:r>
            <w:r w:rsidR="002D57F9" w:rsidRPr="00107B76">
              <w:rPr>
                <w:rFonts w:eastAsia="Calibri"/>
                <w:lang w:val="en-GB"/>
              </w:rPr>
              <w:t xml:space="preserve"> external sources </w:t>
            </w:r>
            <w:r w:rsidR="004A2ECB" w:rsidRPr="00107B76">
              <w:rPr>
                <w:rFonts w:eastAsia="Calibri"/>
                <w:lang w:val="en-GB"/>
              </w:rPr>
              <w:t>for</w:t>
            </w:r>
            <w:r w:rsidR="00342936" w:rsidRPr="00107B76">
              <w:rPr>
                <w:rFonts w:eastAsia="Calibri"/>
                <w:lang w:val="en-GB"/>
              </w:rPr>
              <w:t xml:space="preserve"> the</w:t>
            </w:r>
            <w:r w:rsidR="004A2ECB" w:rsidRPr="00107B76">
              <w:rPr>
                <w:rFonts w:eastAsia="Calibri"/>
                <w:lang w:val="en-GB"/>
              </w:rPr>
              <w:t xml:space="preserve"> market </w:t>
            </w:r>
            <w:r w:rsidR="001F009D" w:rsidRPr="00107B76">
              <w:rPr>
                <w:rFonts w:eastAsia="Calibri"/>
                <w:lang w:val="en-GB"/>
              </w:rPr>
              <w:t>price)</w:t>
            </w:r>
            <w:r w:rsidR="00453E21" w:rsidRPr="00107B76">
              <w:rPr>
                <w:rFonts w:eastAsia="Calibri"/>
                <w:lang w:val="en-GB"/>
              </w:rPr>
              <w:t>;</w:t>
            </w:r>
          </w:p>
          <w:p w14:paraId="73B90968" w14:textId="2BA074F0" w:rsidR="00B2499F" w:rsidRPr="00107B76" w:rsidRDefault="00407B7C" w:rsidP="00D64857">
            <w:pPr>
              <w:pStyle w:val="ListParagraph"/>
              <w:numPr>
                <w:ilvl w:val="2"/>
                <w:numId w:val="5"/>
              </w:numPr>
              <w:shd w:val="clear" w:color="auto" w:fill="FFFFFF" w:themeFill="background1"/>
              <w:ind w:left="0" w:firstLine="601"/>
              <w:contextualSpacing w:val="0"/>
              <w:jc w:val="both"/>
              <w:rPr>
                <w:rFonts w:eastAsia="Calibri"/>
                <w:lang w:val="en-GB"/>
              </w:rPr>
            </w:pPr>
            <w:r w:rsidRPr="00107B76">
              <w:rPr>
                <w:rFonts w:eastAsia="Calibri"/>
                <w:lang w:val="en-GB"/>
              </w:rPr>
              <w:t>c</w:t>
            </w:r>
            <w:r w:rsidR="00A9722A" w:rsidRPr="00107B76">
              <w:rPr>
                <w:rFonts w:eastAsia="Calibri"/>
                <w:lang w:val="en-GB"/>
              </w:rPr>
              <w:t>onsultancy</w:t>
            </w:r>
            <w:r w:rsidR="00B63204" w:rsidRPr="00107B76">
              <w:rPr>
                <w:rFonts w:eastAsia="Calibri"/>
                <w:lang w:val="en-GB"/>
              </w:rPr>
              <w:t xml:space="preserve"> or equivalent services </w:t>
            </w:r>
            <w:r w:rsidR="00070868" w:rsidRPr="00107B76">
              <w:rPr>
                <w:rFonts w:eastAsia="Calibri"/>
                <w:lang w:val="en-GB"/>
              </w:rPr>
              <w:t xml:space="preserve">for </w:t>
            </w:r>
            <w:r w:rsidR="00607421" w:rsidRPr="00107B76">
              <w:rPr>
                <w:rFonts w:eastAsia="Calibri"/>
                <w:lang w:val="en-GB"/>
              </w:rPr>
              <w:t xml:space="preserve">conducting R&amp;D </w:t>
            </w:r>
            <w:r w:rsidR="00962E39" w:rsidRPr="00107B76">
              <w:rPr>
                <w:rFonts w:eastAsia="Calibri"/>
                <w:lang w:val="en-GB"/>
              </w:rPr>
              <w:t xml:space="preserve">of </w:t>
            </w:r>
            <w:r w:rsidR="005343B1" w:rsidRPr="00107B76">
              <w:rPr>
                <w:rFonts w:eastAsia="Calibri"/>
                <w:lang w:val="en-GB"/>
              </w:rPr>
              <w:t>a</w:t>
            </w:r>
            <w:r w:rsidR="00962E39" w:rsidRPr="00107B76">
              <w:rPr>
                <w:rFonts w:eastAsia="Calibri"/>
                <w:lang w:val="en-GB"/>
              </w:rPr>
              <w:t xml:space="preserve"> project</w:t>
            </w:r>
            <w:r w:rsidR="005343B1" w:rsidRPr="00107B76">
              <w:rPr>
                <w:rFonts w:eastAsia="Calibri"/>
                <w:lang w:val="en-GB"/>
              </w:rPr>
              <w:t>,</w:t>
            </w:r>
            <w:r w:rsidR="00B2499F" w:rsidRPr="00107B76">
              <w:rPr>
                <w:rFonts w:eastAsia="Calibri"/>
                <w:lang w:val="en-GB"/>
              </w:rPr>
              <w:t xml:space="preserve"> when they are </w:t>
            </w:r>
            <w:r w:rsidR="007525DD" w:rsidRPr="00107B76">
              <w:rPr>
                <w:rFonts w:eastAsia="Calibri"/>
                <w:lang w:val="en-GB"/>
              </w:rPr>
              <w:t>purchased</w:t>
            </w:r>
            <w:r w:rsidR="00B2499F" w:rsidRPr="00107B76">
              <w:rPr>
                <w:rFonts w:eastAsia="Calibri"/>
                <w:lang w:val="en-GB"/>
              </w:rPr>
              <w:t xml:space="preserve"> from the external sources for the market price</w:t>
            </w:r>
            <w:r w:rsidR="00453E21" w:rsidRPr="00107B76">
              <w:rPr>
                <w:rFonts w:eastAsia="Calibri"/>
                <w:lang w:val="en-GB"/>
              </w:rPr>
              <w:t>;</w:t>
            </w:r>
          </w:p>
          <w:p w14:paraId="5A74BC60" w14:textId="7B2199B9" w:rsidR="00A402F9" w:rsidRPr="00107B76" w:rsidRDefault="00407B7C" w:rsidP="00D64857">
            <w:pPr>
              <w:pStyle w:val="ListParagraph"/>
              <w:numPr>
                <w:ilvl w:val="2"/>
                <w:numId w:val="5"/>
              </w:numPr>
              <w:shd w:val="clear" w:color="auto" w:fill="FFFFFF" w:themeFill="background1"/>
              <w:ind w:left="0" w:firstLine="601"/>
              <w:contextualSpacing w:val="0"/>
              <w:jc w:val="both"/>
              <w:rPr>
                <w:rFonts w:eastAsia="Calibri"/>
                <w:lang w:val="en-GB"/>
              </w:rPr>
            </w:pPr>
            <w:r w:rsidRPr="00107B76">
              <w:rPr>
                <w:rFonts w:eastAsia="Calibri"/>
                <w:lang w:val="en-GB"/>
              </w:rPr>
              <w:t>e</w:t>
            </w:r>
            <w:r w:rsidR="000E5CFE" w:rsidRPr="00107B76">
              <w:rPr>
                <w:rFonts w:eastAsia="Calibri"/>
                <w:lang w:val="en-GB"/>
              </w:rPr>
              <w:t>xpenses</w:t>
            </w:r>
            <w:r w:rsidR="00B92E10" w:rsidRPr="00107B76">
              <w:rPr>
                <w:rFonts w:eastAsia="Calibri"/>
                <w:lang w:val="en-GB"/>
              </w:rPr>
              <w:t xml:space="preserve"> for </w:t>
            </w:r>
            <w:r w:rsidR="00BB1476" w:rsidRPr="00107B76">
              <w:rPr>
                <w:rFonts w:eastAsia="Calibri"/>
                <w:lang w:val="en-GB"/>
              </w:rPr>
              <w:t>services</w:t>
            </w:r>
            <w:r w:rsidR="005E2CA6" w:rsidRPr="00107B76">
              <w:rPr>
                <w:rFonts w:eastAsia="Calibri"/>
                <w:lang w:val="en-GB"/>
              </w:rPr>
              <w:t xml:space="preserve"> which are not R&amp;D but are</w:t>
            </w:r>
            <w:r w:rsidR="00BB1476" w:rsidRPr="00107B76">
              <w:rPr>
                <w:rFonts w:eastAsia="Calibri"/>
                <w:lang w:val="en-GB"/>
              </w:rPr>
              <w:t xml:space="preserve"> necessary for conducting R&amp;D</w:t>
            </w:r>
            <w:r w:rsidR="001319D3" w:rsidRPr="00107B76">
              <w:rPr>
                <w:rFonts w:eastAsia="Calibri"/>
                <w:lang w:val="en-GB"/>
              </w:rPr>
              <w:t xml:space="preserve"> </w:t>
            </w:r>
            <w:r w:rsidR="005E2CA6" w:rsidRPr="00107B76">
              <w:rPr>
                <w:rFonts w:eastAsia="Calibri"/>
                <w:lang w:val="en-GB"/>
              </w:rPr>
              <w:t>and are cr</w:t>
            </w:r>
            <w:r w:rsidR="00E925FC" w:rsidRPr="00107B76">
              <w:rPr>
                <w:rFonts w:eastAsia="Calibri"/>
                <w:lang w:val="en-GB"/>
              </w:rPr>
              <w:t>u</w:t>
            </w:r>
            <w:r w:rsidR="005E2CA6" w:rsidRPr="00107B76">
              <w:rPr>
                <w:rFonts w:eastAsia="Calibri"/>
                <w:lang w:val="en-GB"/>
              </w:rPr>
              <w:t xml:space="preserve">cial to </w:t>
            </w:r>
            <w:r w:rsidR="009552FE" w:rsidRPr="00107B76">
              <w:rPr>
                <w:rFonts w:eastAsia="Calibri"/>
                <w:lang w:val="en-GB"/>
              </w:rPr>
              <w:t>achiev</w:t>
            </w:r>
            <w:r w:rsidR="005E2CA6" w:rsidRPr="00107B76">
              <w:rPr>
                <w:rFonts w:eastAsia="Calibri"/>
                <w:lang w:val="en-GB"/>
              </w:rPr>
              <w:t>e</w:t>
            </w:r>
            <w:r w:rsidR="009552FE" w:rsidRPr="00107B76">
              <w:rPr>
                <w:rFonts w:eastAsia="Calibri"/>
                <w:lang w:val="en-GB"/>
              </w:rPr>
              <w:t xml:space="preserve"> goals of a project</w:t>
            </w:r>
            <w:r w:rsidR="009A32C3" w:rsidRPr="00107B76">
              <w:rPr>
                <w:rFonts w:eastAsia="Calibri"/>
                <w:lang w:val="en-GB"/>
              </w:rPr>
              <w:t xml:space="preserve">. </w:t>
            </w:r>
            <w:r w:rsidR="00E925FC" w:rsidRPr="00107B76">
              <w:rPr>
                <w:rFonts w:eastAsia="Calibri"/>
                <w:lang w:val="en-GB"/>
              </w:rPr>
              <w:t xml:space="preserve">Services are </w:t>
            </w:r>
            <w:r w:rsidR="0066503B" w:rsidRPr="00107B76">
              <w:rPr>
                <w:rFonts w:eastAsia="Calibri"/>
                <w:lang w:val="en-GB"/>
              </w:rPr>
              <w:t>purchased</w:t>
            </w:r>
            <w:r w:rsidR="00E925FC" w:rsidRPr="00107B76">
              <w:rPr>
                <w:rFonts w:eastAsia="Calibri"/>
                <w:lang w:val="en-GB"/>
              </w:rPr>
              <w:t xml:space="preserve"> from the external sources for the market price</w:t>
            </w:r>
            <w:r w:rsidR="000A4B85" w:rsidRPr="00107B76">
              <w:rPr>
                <w:rFonts w:eastAsia="Calibri"/>
                <w:lang w:val="en-GB"/>
              </w:rPr>
              <w:t>;</w:t>
            </w:r>
          </w:p>
          <w:p w14:paraId="527F6B22" w14:textId="26C2432C" w:rsidR="00FF0D9B" w:rsidRPr="00107B76" w:rsidRDefault="00407B7C" w:rsidP="00D64857">
            <w:pPr>
              <w:pStyle w:val="ListParagraph"/>
              <w:numPr>
                <w:ilvl w:val="2"/>
                <w:numId w:val="5"/>
              </w:numPr>
              <w:shd w:val="clear" w:color="auto" w:fill="FFFFFF" w:themeFill="background1"/>
              <w:ind w:left="0" w:firstLine="601"/>
              <w:contextualSpacing w:val="0"/>
              <w:jc w:val="both"/>
              <w:rPr>
                <w:rFonts w:eastAsia="Calibri"/>
                <w:lang w:val="en-GB"/>
              </w:rPr>
            </w:pPr>
            <w:r w:rsidRPr="00107B76">
              <w:rPr>
                <w:rFonts w:eastAsia="Calibri"/>
                <w:lang w:val="en-GB"/>
              </w:rPr>
              <w:t>c</w:t>
            </w:r>
            <w:r w:rsidR="00A74ED7" w:rsidRPr="00107B76">
              <w:rPr>
                <w:rFonts w:eastAsia="Calibri"/>
                <w:lang w:val="en-GB"/>
              </w:rPr>
              <w:t xml:space="preserve">onsultancy and </w:t>
            </w:r>
            <w:r w:rsidR="00DD29CB" w:rsidRPr="00107B76">
              <w:rPr>
                <w:rFonts w:eastAsia="Calibri"/>
                <w:lang w:val="en-GB"/>
              </w:rPr>
              <w:t xml:space="preserve">equivalent services </w:t>
            </w:r>
            <w:r w:rsidR="001437C9" w:rsidRPr="00107B76">
              <w:rPr>
                <w:rFonts w:eastAsia="Calibri"/>
                <w:lang w:val="en-GB"/>
              </w:rPr>
              <w:t>purchased</w:t>
            </w:r>
            <w:r w:rsidR="00DD29CB" w:rsidRPr="00107B76">
              <w:rPr>
                <w:rFonts w:eastAsia="Calibri"/>
                <w:lang w:val="en-GB"/>
              </w:rPr>
              <w:t xml:space="preserve"> from the external sources for the market price</w:t>
            </w:r>
            <w:r w:rsidR="001437C9" w:rsidRPr="00107B76">
              <w:rPr>
                <w:rFonts w:eastAsia="Calibri"/>
                <w:lang w:val="en-GB"/>
              </w:rPr>
              <w:t>;</w:t>
            </w:r>
          </w:p>
          <w:p w14:paraId="77C4A203" w14:textId="61B7B72F" w:rsidR="00A402F9" w:rsidRPr="00107B76" w:rsidRDefault="004014B3" w:rsidP="00D64857">
            <w:pPr>
              <w:pStyle w:val="ListParagraph"/>
              <w:numPr>
                <w:ilvl w:val="1"/>
                <w:numId w:val="5"/>
              </w:numPr>
              <w:shd w:val="clear" w:color="auto" w:fill="FFFFFF" w:themeFill="background1"/>
              <w:tabs>
                <w:tab w:val="left" w:pos="1030"/>
              </w:tabs>
              <w:ind w:left="38" w:firstLine="567"/>
              <w:contextualSpacing w:val="0"/>
              <w:jc w:val="both"/>
              <w:rPr>
                <w:rFonts w:eastAsia="Calibri"/>
                <w:lang w:val="en-GB"/>
              </w:rPr>
            </w:pPr>
            <w:r w:rsidRPr="00107B76">
              <w:rPr>
                <w:rFonts w:eastAsia="Calibri"/>
                <w:lang w:val="en-GB"/>
              </w:rPr>
              <w:t>C</w:t>
            </w:r>
            <w:r w:rsidRPr="00107B76">
              <w:rPr>
                <w:lang w:val="en-GB"/>
              </w:rPr>
              <w:t xml:space="preserve">osts arising directly from requirements imposed by </w:t>
            </w:r>
            <w:r w:rsidR="00B434B1" w:rsidRPr="00107B76">
              <w:rPr>
                <w:lang w:val="en-GB"/>
              </w:rPr>
              <w:t>a</w:t>
            </w:r>
            <w:r w:rsidRPr="00107B76">
              <w:rPr>
                <w:lang w:val="en-GB"/>
              </w:rPr>
              <w:t xml:space="preserve"> </w:t>
            </w:r>
            <w:r w:rsidR="00DC098C" w:rsidRPr="00107B76">
              <w:rPr>
                <w:lang w:val="en-GB"/>
              </w:rPr>
              <w:t>project contract</w:t>
            </w:r>
            <w:r w:rsidRPr="00107B76">
              <w:rPr>
                <w:lang w:val="en-GB"/>
              </w:rPr>
              <w:t xml:space="preserve">. </w:t>
            </w:r>
            <w:r w:rsidR="00E535AA">
              <w:rPr>
                <w:lang w:val="en-GB"/>
              </w:rPr>
              <w:t xml:space="preserve">These could be the following: costs for </w:t>
            </w:r>
            <w:r w:rsidRPr="00107B76">
              <w:rPr>
                <w:lang w:val="en-GB"/>
              </w:rPr>
              <w:t xml:space="preserve">communication and information activities, audits, </w:t>
            </w:r>
            <w:r w:rsidR="00E535AA">
              <w:rPr>
                <w:lang w:val="en-GB"/>
              </w:rPr>
              <w:t>organisation of events, translation and other costs.</w:t>
            </w:r>
          </w:p>
        </w:tc>
      </w:tr>
      <w:tr w:rsidR="00A402F9" w:rsidRPr="00107B76" w14:paraId="1CA823F4" w14:textId="77777777" w:rsidTr="004C1CDB">
        <w:tc>
          <w:tcPr>
            <w:tcW w:w="887" w:type="dxa"/>
            <w:gridSpan w:val="2"/>
            <w:shd w:val="clear" w:color="auto" w:fill="FFFFFF" w:themeFill="background1"/>
            <w:tcMar>
              <w:top w:w="0" w:type="dxa"/>
              <w:left w:w="108" w:type="dxa"/>
              <w:bottom w:w="0" w:type="dxa"/>
              <w:right w:w="108" w:type="dxa"/>
            </w:tcMar>
            <w:vAlign w:val="center"/>
          </w:tcPr>
          <w:p w14:paraId="7E74E5BC" w14:textId="77777777" w:rsidR="00A402F9" w:rsidRPr="00107B76" w:rsidRDefault="00A402F9" w:rsidP="00D64857">
            <w:pPr>
              <w:shd w:val="clear" w:color="auto" w:fill="FFFFFF" w:themeFill="background1"/>
              <w:rPr>
                <w:lang w:val="en-GB" w:eastAsia="lt-LT"/>
              </w:rPr>
            </w:pPr>
            <w:r w:rsidRPr="00107B76">
              <w:rPr>
                <w:lang w:val="en-GB" w:eastAsia="lt-LT"/>
              </w:rPr>
              <w:lastRenderedPageBreak/>
              <w:t>5.</w:t>
            </w:r>
          </w:p>
        </w:tc>
        <w:tc>
          <w:tcPr>
            <w:tcW w:w="1830" w:type="dxa"/>
            <w:shd w:val="clear" w:color="auto" w:fill="FFFFFF" w:themeFill="background1"/>
            <w:tcMar>
              <w:top w:w="0" w:type="dxa"/>
              <w:left w:w="108" w:type="dxa"/>
              <w:bottom w:w="0" w:type="dxa"/>
              <w:right w:w="108" w:type="dxa"/>
            </w:tcMar>
            <w:vAlign w:val="center"/>
          </w:tcPr>
          <w:p w14:paraId="659E58C7" w14:textId="6246B8C9" w:rsidR="00A402F9" w:rsidRPr="00107B76" w:rsidRDefault="004C1CDB" w:rsidP="004C1CDB">
            <w:pPr>
              <w:shd w:val="clear" w:color="auto" w:fill="FFFFFF" w:themeFill="background1"/>
              <w:ind w:left="34"/>
              <w:jc w:val="center"/>
              <w:rPr>
                <w:lang w:val="en-GB" w:eastAsia="lt-LT"/>
              </w:rPr>
            </w:pPr>
            <w:r w:rsidRPr="00107B76">
              <w:rPr>
                <w:lang w:val="en-GB" w:eastAsia="lt-LT"/>
              </w:rPr>
              <w:t>Travel</w:t>
            </w:r>
            <w:r w:rsidR="000F2FB6" w:rsidRPr="00107B76">
              <w:rPr>
                <w:lang w:val="en-GB" w:eastAsia="lt-LT"/>
              </w:rPr>
              <w:t xml:space="preserve"> and </w:t>
            </w:r>
            <w:r w:rsidR="000F2FB6" w:rsidRPr="00107B76">
              <w:rPr>
                <w:lang w:val="en-GB"/>
              </w:rPr>
              <w:t>subsistence allowances</w:t>
            </w:r>
          </w:p>
        </w:tc>
        <w:tc>
          <w:tcPr>
            <w:tcW w:w="6809" w:type="dxa"/>
            <w:shd w:val="clear" w:color="auto" w:fill="FFFFFF" w:themeFill="background1"/>
            <w:tcMar>
              <w:top w:w="0" w:type="dxa"/>
              <w:left w:w="108" w:type="dxa"/>
              <w:bottom w:w="0" w:type="dxa"/>
              <w:right w:w="108" w:type="dxa"/>
            </w:tcMar>
            <w:vAlign w:val="center"/>
          </w:tcPr>
          <w:p w14:paraId="498C195C" w14:textId="5B0F4604" w:rsidR="006C7672" w:rsidRPr="00107B76" w:rsidRDefault="00B13593" w:rsidP="00D64857">
            <w:pPr>
              <w:pStyle w:val="ListParagraph"/>
              <w:numPr>
                <w:ilvl w:val="1"/>
                <w:numId w:val="13"/>
              </w:numPr>
              <w:shd w:val="clear" w:color="auto" w:fill="FFFFFF" w:themeFill="background1"/>
              <w:tabs>
                <w:tab w:val="left" w:pos="889"/>
                <w:tab w:val="left" w:pos="1172"/>
              </w:tabs>
              <w:ind w:left="0" w:firstLine="605"/>
              <w:jc w:val="both"/>
              <w:rPr>
                <w:rFonts w:eastAsia="Calibri"/>
                <w:lang w:val="en-GB"/>
              </w:rPr>
            </w:pPr>
            <w:r w:rsidRPr="00107B76">
              <w:rPr>
                <w:lang w:val="en-GB"/>
              </w:rPr>
              <w:t xml:space="preserve">Travel and subsistence allowances related to travel for staff taking part in </w:t>
            </w:r>
            <w:r w:rsidR="008D1CCE" w:rsidRPr="00107B76">
              <w:rPr>
                <w:lang w:val="en-GB"/>
              </w:rPr>
              <w:t>a</w:t>
            </w:r>
            <w:r w:rsidRPr="00107B76">
              <w:rPr>
                <w:lang w:val="en-GB"/>
              </w:rPr>
              <w:t xml:space="preserve"> project, including </w:t>
            </w:r>
            <w:r w:rsidR="00376370" w:rsidRPr="00107B76">
              <w:rPr>
                <w:lang w:val="en-GB"/>
              </w:rPr>
              <w:t>daily allowance</w:t>
            </w:r>
            <w:r w:rsidR="00D54202" w:rsidRPr="00107B76">
              <w:rPr>
                <w:lang w:val="en-GB"/>
              </w:rPr>
              <w:t>s</w:t>
            </w:r>
            <w:r w:rsidR="004D0654" w:rsidRPr="00107B76">
              <w:rPr>
                <w:lang w:val="en-GB"/>
              </w:rPr>
              <w:t>.</w:t>
            </w:r>
            <w:r w:rsidR="00570D4E">
              <w:rPr>
                <w:lang w:val="en-GB"/>
              </w:rPr>
              <w:t xml:space="preserve"> If a project is aimed at the activity </w:t>
            </w:r>
            <w:r w:rsidR="00570D4E">
              <w:rPr>
                <w:i/>
                <w:iCs/>
                <w:lang w:val="en-GB"/>
              </w:rPr>
              <w:t>Application of new products/ technologies</w:t>
            </w:r>
            <w:r w:rsidR="00570D4E">
              <w:rPr>
                <w:lang w:val="en-GB"/>
              </w:rPr>
              <w:t xml:space="preserve"> (subparagraph 13.3 of the Call), </w:t>
            </w:r>
            <w:r w:rsidR="00570D23">
              <w:rPr>
                <w:lang w:val="en-GB"/>
              </w:rPr>
              <w:t>this</w:t>
            </w:r>
            <w:r w:rsidR="00570D4E">
              <w:rPr>
                <w:lang w:val="en-GB"/>
              </w:rPr>
              <w:t xml:space="preserve"> expenditure is ineligible. </w:t>
            </w:r>
          </w:p>
          <w:p w14:paraId="2EC74FC9" w14:textId="41E6991B" w:rsidR="006C7672" w:rsidRPr="00107B76" w:rsidRDefault="006C7672" w:rsidP="00D64857">
            <w:pPr>
              <w:pStyle w:val="ListParagraph"/>
              <w:numPr>
                <w:ilvl w:val="1"/>
                <w:numId w:val="13"/>
              </w:numPr>
              <w:shd w:val="clear" w:color="auto" w:fill="FFFFFF" w:themeFill="background1"/>
              <w:tabs>
                <w:tab w:val="left" w:pos="889"/>
                <w:tab w:val="left" w:pos="1172"/>
              </w:tabs>
              <w:ind w:left="0" w:firstLine="605"/>
              <w:jc w:val="both"/>
              <w:rPr>
                <w:rFonts w:eastAsia="Calibri"/>
                <w:lang w:val="en-GB"/>
              </w:rPr>
            </w:pPr>
            <w:r w:rsidRPr="00107B76">
              <w:rPr>
                <w:rFonts w:eastAsia="Calibri"/>
                <w:lang w:val="en-GB"/>
              </w:rPr>
              <w:t>For all Project Promoters and partners from Lithu</w:t>
            </w:r>
            <w:r w:rsidR="00B434B1" w:rsidRPr="00107B76">
              <w:rPr>
                <w:rFonts w:eastAsia="Calibri"/>
                <w:lang w:val="en-GB"/>
              </w:rPr>
              <w:t>a</w:t>
            </w:r>
            <w:r w:rsidRPr="00107B76">
              <w:rPr>
                <w:rFonts w:eastAsia="Calibri"/>
                <w:lang w:val="en-GB"/>
              </w:rPr>
              <w:t>nia</w:t>
            </w:r>
            <w:r w:rsidR="004C7693" w:rsidRPr="00107B76">
              <w:rPr>
                <w:rFonts w:eastAsia="Calibri"/>
                <w:lang w:val="en-GB"/>
              </w:rPr>
              <w:t>,</w:t>
            </w:r>
            <w:r w:rsidRPr="00107B76">
              <w:rPr>
                <w:rFonts w:eastAsia="Calibri"/>
                <w:lang w:val="en-GB"/>
              </w:rPr>
              <w:t xml:space="preserve"> </w:t>
            </w:r>
            <w:r w:rsidR="004C7693" w:rsidRPr="00107B76">
              <w:rPr>
                <w:rFonts w:eastAsia="Calibri"/>
                <w:lang w:val="en-GB"/>
              </w:rPr>
              <w:t xml:space="preserve">travel and subsistence allowance, including daily allowances, are determined following the </w:t>
            </w:r>
            <w:r w:rsidRPr="00107B76">
              <w:rPr>
                <w:rFonts w:eastAsia="Calibri"/>
                <w:lang w:val="en-GB"/>
              </w:rPr>
              <w:t>Provisions on Payments of Daily Allowance and Other Trip Expenditure Incurred by Public Servants, approved by the decision of the Government of the Republic of Lithuania No 526 of 29</w:t>
            </w:r>
            <w:r w:rsidR="00F16254" w:rsidRPr="00107B76">
              <w:rPr>
                <w:rFonts w:eastAsia="Calibri"/>
                <w:lang w:val="en-GB"/>
              </w:rPr>
              <w:t> </w:t>
            </w:r>
            <w:r w:rsidRPr="00107B76">
              <w:rPr>
                <w:rFonts w:eastAsia="Calibri"/>
                <w:lang w:val="en-GB"/>
              </w:rPr>
              <w:t>April</w:t>
            </w:r>
            <w:r w:rsidR="00F16254" w:rsidRPr="00107B76">
              <w:rPr>
                <w:rFonts w:eastAsia="Calibri"/>
                <w:lang w:val="en-GB"/>
              </w:rPr>
              <w:t> </w:t>
            </w:r>
            <w:r w:rsidRPr="00107B76">
              <w:rPr>
                <w:rFonts w:eastAsia="Calibri"/>
                <w:lang w:val="en-GB"/>
              </w:rPr>
              <w:t>2004.</w:t>
            </w:r>
          </w:p>
          <w:p w14:paraId="295F6744" w14:textId="2A3FAFE6" w:rsidR="00A402F9" w:rsidRPr="00107B76" w:rsidRDefault="009D468F" w:rsidP="00D64857">
            <w:pPr>
              <w:pStyle w:val="ListParagraph"/>
              <w:numPr>
                <w:ilvl w:val="1"/>
                <w:numId w:val="13"/>
              </w:numPr>
              <w:shd w:val="clear" w:color="auto" w:fill="FFFFFF" w:themeFill="background1"/>
              <w:tabs>
                <w:tab w:val="left" w:pos="889"/>
                <w:tab w:val="left" w:pos="1172"/>
              </w:tabs>
              <w:ind w:left="0" w:firstLine="605"/>
              <w:jc w:val="both"/>
              <w:rPr>
                <w:rFonts w:eastAsia="Calibri"/>
                <w:lang w:val="en-GB"/>
              </w:rPr>
            </w:pPr>
            <w:r w:rsidRPr="00107B76">
              <w:rPr>
                <w:rFonts w:eastAsia="Calibri"/>
                <w:lang w:val="en-GB"/>
              </w:rPr>
              <w:t>For partners fr</w:t>
            </w:r>
            <w:r w:rsidR="004C1CDB" w:rsidRPr="00107B76">
              <w:rPr>
                <w:rFonts w:eastAsia="Calibri"/>
                <w:lang w:val="en-GB"/>
              </w:rPr>
              <w:t>o</w:t>
            </w:r>
            <w:r w:rsidRPr="00107B76">
              <w:rPr>
                <w:rFonts w:eastAsia="Calibri"/>
                <w:lang w:val="en-GB"/>
              </w:rPr>
              <w:t>m Norway</w:t>
            </w:r>
            <w:r w:rsidR="003902C7" w:rsidRPr="00107B76">
              <w:rPr>
                <w:rFonts w:eastAsia="Calibri"/>
                <w:lang w:val="en-GB"/>
              </w:rPr>
              <w:t xml:space="preserve">, </w:t>
            </w:r>
            <w:r w:rsidR="00EC5DC3" w:rsidRPr="00107B76">
              <w:rPr>
                <w:rFonts w:eastAsia="Calibri"/>
                <w:lang w:val="en-GB"/>
              </w:rPr>
              <w:t>travel and subsistence allowance, including daily allowance</w:t>
            </w:r>
            <w:r w:rsidR="00D54202" w:rsidRPr="00107B76">
              <w:rPr>
                <w:rFonts w:eastAsia="Calibri"/>
                <w:lang w:val="en-GB"/>
              </w:rPr>
              <w:t>s</w:t>
            </w:r>
            <w:r w:rsidR="00A63265" w:rsidRPr="00107B76">
              <w:rPr>
                <w:rFonts w:eastAsia="Calibri"/>
                <w:lang w:val="en-GB"/>
              </w:rPr>
              <w:t xml:space="preserve">, </w:t>
            </w:r>
            <w:r w:rsidR="00D54202" w:rsidRPr="00107B76">
              <w:rPr>
                <w:rFonts w:eastAsia="Calibri"/>
                <w:lang w:val="en-GB"/>
              </w:rPr>
              <w:t xml:space="preserve">are </w:t>
            </w:r>
            <w:r w:rsidR="004F281B" w:rsidRPr="00107B76">
              <w:rPr>
                <w:rFonts w:eastAsia="Calibri"/>
                <w:lang w:val="en-GB"/>
              </w:rPr>
              <w:t>determined on the basis of</w:t>
            </w:r>
            <w:r w:rsidR="00A63265" w:rsidRPr="00107B76">
              <w:rPr>
                <w:rFonts w:eastAsia="Calibri"/>
                <w:lang w:val="en-GB"/>
              </w:rPr>
              <w:t xml:space="preserve"> </w:t>
            </w:r>
            <w:r w:rsidR="003902C7" w:rsidRPr="00107B76">
              <w:rPr>
                <w:lang w:val="en-GB"/>
              </w:rPr>
              <w:t>partner’s usual practice on travel costs</w:t>
            </w:r>
            <w:r w:rsidR="00653878" w:rsidRPr="00107B76">
              <w:rPr>
                <w:lang w:val="en-GB"/>
              </w:rPr>
              <w:t>.</w:t>
            </w:r>
          </w:p>
          <w:p w14:paraId="4C095253" w14:textId="34BD8480" w:rsidR="00127C52" w:rsidRPr="00127C52" w:rsidRDefault="00A0711A" w:rsidP="00966479">
            <w:pPr>
              <w:pStyle w:val="ListParagraph"/>
              <w:numPr>
                <w:ilvl w:val="1"/>
                <w:numId w:val="13"/>
              </w:numPr>
              <w:shd w:val="clear" w:color="auto" w:fill="FFFFFF" w:themeFill="background1"/>
              <w:tabs>
                <w:tab w:val="left" w:pos="889"/>
                <w:tab w:val="left" w:pos="1172"/>
              </w:tabs>
              <w:ind w:left="0" w:firstLine="605"/>
              <w:jc w:val="both"/>
              <w:rPr>
                <w:rFonts w:eastAsia="Calibri"/>
                <w:lang w:val="en-GB"/>
              </w:rPr>
            </w:pPr>
            <w:r w:rsidRPr="00107B76">
              <w:rPr>
                <w:lang w:val="en-GB"/>
              </w:rPr>
              <w:t xml:space="preserve">Transport costs incurred as a result of a business trip or travel on the territory of Lithuania (fuel or public transport) will be covered in the form of standard scales of unit costs, in line with Research Report on Determining Standard Scales of Unit Costs for Fuel and Public Transport No </w:t>
            </w:r>
            <w:r w:rsidRPr="00107B76">
              <w:rPr>
                <w:rFonts w:eastAsia="Calibri"/>
                <w:lang w:val="en-GB"/>
              </w:rPr>
              <w:t>FĮ-005</w:t>
            </w:r>
            <w:r w:rsidR="00127C52" w:rsidRPr="0057188E">
              <w:rPr>
                <w:rStyle w:val="FootnoteReference"/>
                <w:rFonts w:eastAsia="Calibri"/>
              </w:rPr>
              <w:footnoteReference w:id="5"/>
            </w:r>
            <w:r w:rsidRPr="00107B76">
              <w:rPr>
                <w:rFonts w:eastAsia="Calibri"/>
                <w:lang w:val="en-GB"/>
              </w:rPr>
              <w:t xml:space="preserve">, issued by the Ministry of Finance of the Republic of Lithuania on 22 June 2015, published on the webpage </w:t>
            </w:r>
            <w:hyperlink r:id="rId13" w:history="1">
              <w:r w:rsidRPr="00107B76">
                <w:rPr>
                  <w:rFonts w:eastAsia="Calibri"/>
                  <w:u w:val="single"/>
                  <w:lang w:val="en-GB"/>
                </w:rPr>
                <w:t>www.esinvesticijos.lt</w:t>
              </w:r>
            </w:hyperlink>
            <w:r w:rsidRPr="00107B76">
              <w:rPr>
                <w:rFonts w:eastAsia="Calibri"/>
                <w:u w:val="single"/>
                <w:lang w:val="en-GB"/>
              </w:rPr>
              <w:t xml:space="preserve"> </w:t>
            </w:r>
            <w:r w:rsidRPr="00107B76">
              <w:rPr>
                <w:rFonts w:eastAsia="Calibri"/>
                <w:lang w:val="en-GB"/>
              </w:rPr>
              <w:t xml:space="preserve">(section </w:t>
            </w:r>
            <w:r w:rsidR="00B434B1" w:rsidRPr="00107B76">
              <w:rPr>
                <w:rFonts w:eastAsia="Calibri"/>
                <w:lang w:val="en-GB"/>
              </w:rPr>
              <w:t>‘</w:t>
            </w:r>
            <w:r w:rsidRPr="00107B76">
              <w:rPr>
                <w:rFonts w:eastAsia="Calibri"/>
                <w:lang w:val="en-GB"/>
              </w:rPr>
              <w:t xml:space="preserve">Documents‘, sub-section </w:t>
            </w:r>
            <w:r w:rsidR="00B434B1" w:rsidRPr="00107B76">
              <w:rPr>
                <w:rFonts w:eastAsia="Calibri"/>
                <w:lang w:val="en-GB"/>
              </w:rPr>
              <w:t>‘</w:t>
            </w:r>
            <w:r w:rsidRPr="00107B76">
              <w:rPr>
                <w:rFonts w:eastAsia="Calibri"/>
                <w:lang w:val="en-GB"/>
              </w:rPr>
              <w:t>Research‘, ‘Research on Standard Scales of Unit Costs’), a fixed sum of 0,07 Eur/km excluding VAT or 0,08 Eur/km including VAT.</w:t>
            </w:r>
          </w:p>
        </w:tc>
      </w:tr>
      <w:tr w:rsidR="00A402F9" w:rsidRPr="00107B76" w14:paraId="4034A279" w14:textId="77777777" w:rsidTr="00D64857">
        <w:tc>
          <w:tcPr>
            <w:tcW w:w="887" w:type="dxa"/>
            <w:gridSpan w:val="2"/>
            <w:shd w:val="clear" w:color="auto" w:fill="FFFFFF" w:themeFill="background1"/>
            <w:tcMar>
              <w:top w:w="0" w:type="dxa"/>
              <w:left w:w="108" w:type="dxa"/>
              <w:bottom w:w="0" w:type="dxa"/>
              <w:right w:w="108" w:type="dxa"/>
            </w:tcMar>
            <w:vAlign w:val="center"/>
          </w:tcPr>
          <w:p w14:paraId="79780D65" w14:textId="77777777" w:rsidR="00A402F9" w:rsidRPr="00107B76" w:rsidRDefault="00A402F9" w:rsidP="00D64857">
            <w:pPr>
              <w:shd w:val="clear" w:color="auto" w:fill="FFFFFF" w:themeFill="background1"/>
              <w:rPr>
                <w:lang w:val="en-GB" w:eastAsia="lt-LT"/>
              </w:rPr>
            </w:pPr>
            <w:r w:rsidRPr="00107B76">
              <w:rPr>
                <w:lang w:val="en-GB" w:eastAsia="lt-LT"/>
              </w:rPr>
              <w:t xml:space="preserve">6. </w:t>
            </w:r>
          </w:p>
        </w:tc>
        <w:tc>
          <w:tcPr>
            <w:tcW w:w="1830" w:type="dxa"/>
            <w:shd w:val="clear" w:color="auto" w:fill="FFFFFF" w:themeFill="background1"/>
            <w:tcMar>
              <w:top w:w="0" w:type="dxa"/>
              <w:left w:w="108" w:type="dxa"/>
              <w:bottom w:w="0" w:type="dxa"/>
              <w:right w:w="108" w:type="dxa"/>
            </w:tcMar>
            <w:vAlign w:val="center"/>
          </w:tcPr>
          <w:p w14:paraId="0DA6E005" w14:textId="0139847C" w:rsidR="00A402F9" w:rsidRPr="00107B76" w:rsidRDefault="00E667E0" w:rsidP="00D64857">
            <w:pPr>
              <w:shd w:val="clear" w:color="auto" w:fill="FFFFFF" w:themeFill="background1"/>
              <w:ind w:left="34"/>
              <w:rPr>
                <w:lang w:val="en-GB" w:eastAsia="lt-LT"/>
              </w:rPr>
            </w:pPr>
            <w:r w:rsidRPr="00107B76">
              <w:rPr>
                <w:lang w:val="en-GB" w:eastAsia="lt-LT"/>
              </w:rPr>
              <w:t xml:space="preserve">The cost of staff </w:t>
            </w:r>
            <w:r w:rsidR="00082155" w:rsidRPr="00107B76">
              <w:rPr>
                <w:lang w:val="en-GB" w:eastAsia="lt-LT"/>
              </w:rPr>
              <w:t>assigned</w:t>
            </w:r>
            <w:r w:rsidRPr="00107B76">
              <w:rPr>
                <w:lang w:val="en-GB" w:eastAsia="lt-LT"/>
              </w:rPr>
              <w:t xml:space="preserve"> to the project</w:t>
            </w:r>
          </w:p>
        </w:tc>
        <w:tc>
          <w:tcPr>
            <w:tcW w:w="6809" w:type="dxa"/>
            <w:shd w:val="clear" w:color="auto" w:fill="FFFFFF" w:themeFill="background1"/>
            <w:tcMar>
              <w:top w:w="0" w:type="dxa"/>
              <w:left w:w="108" w:type="dxa"/>
              <w:bottom w:w="0" w:type="dxa"/>
              <w:right w:w="108" w:type="dxa"/>
            </w:tcMar>
            <w:vAlign w:val="center"/>
          </w:tcPr>
          <w:p w14:paraId="1AA67850" w14:textId="4DC9FB7D" w:rsidR="002A2BFF" w:rsidRPr="00107B76" w:rsidRDefault="00D639EF" w:rsidP="28D743D6">
            <w:pPr>
              <w:shd w:val="clear" w:color="auto" w:fill="FFFFFF" w:themeFill="background1"/>
              <w:ind w:left="33" w:firstLine="572"/>
              <w:jc w:val="both"/>
              <w:rPr>
                <w:rFonts w:eastAsia="Calibri"/>
                <w:lang w:val="en-GB"/>
              </w:rPr>
            </w:pPr>
            <w:r w:rsidRPr="00107B76">
              <w:rPr>
                <w:color w:val="000000"/>
                <w:shd w:val="clear" w:color="auto" w:fill="FFFFFF"/>
                <w:lang w:val="en-GB"/>
              </w:rPr>
              <w:t xml:space="preserve">6.1. </w:t>
            </w:r>
            <w:r w:rsidR="00D90B56" w:rsidRPr="00107B76">
              <w:rPr>
                <w:color w:val="000000"/>
                <w:shd w:val="clear" w:color="auto" w:fill="FFFFFF"/>
                <w:lang w:val="en-GB"/>
              </w:rPr>
              <w:t xml:space="preserve">Eligible </w:t>
            </w:r>
            <w:r w:rsidR="009621FB" w:rsidRPr="00107B76">
              <w:rPr>
                <w:color w:val="000000"/>
                <w:shd w:val="clear" w:color="auto" w:fill="FFFFFF"/>
                <w:lang w:val="en-GB"/>
              </w:rPr>
              <w:t>costs</w:t>
            </w:r>
            <w:r w:rsidR="00D90B56" w:rsidRPr="00107B76">
              <w:rPr>
                <w:color w:val="000000"/>
                <w:shd w:val="clear" w:color="auto" w:fill="FFFFFF"/>
                <w:lang w:val="en-GB"/>
              </w:rPr>
              <w:t xml:space="preserve"> include</w:t>
            </w:r>
            <w:r w:rsidR="008F169F" w:rsidRPr="00107B76">
              <w:rPr>
                <w:color w:val="000000"/>
                <w:shd w:val="clear" w:color="auto" w:fill="FFFFFF"/>
                <w:lang w:val="en-GB"/>
              </w:rPr>
              <w:t xml:space="preserve"> actual salaries of the staff assigned to </w:t>
            </w:r>
            <w:r w:rsidR="004C7693" w:rsidRPr="00107B76">
              <w:rPr>
                <w:color w:val="000000"/>
                <w:shd w:val="clear" w:color="auto" w:fill="FFFFFF"/>
                <w:lang w:val="en-GB"/>
              </w:rPr>
              <w:t xml:space="preserve">implement </w:t>
            </w:r>
            <w:r w:rsidR="008F169F" w:rsidRPr="00107B76">
              <w:rPr>
                <w:color w:val="000000"/>
                <w:shd w:val="clear" w:color="auto" w:fill="FFFFFF"/>
                <w:lang w:val="en-GB"/>
              </w:rPr>
              <w:t>a project</w:t>
            </w:r>
            <w:r w:rsidR="004C7693" w:rsidRPr="00107B76">
              <w:rPr>
                <w:color w:val="000000"/>
                <w:shd w:val="clear" w:color="auto" w:fill="FFFFFF"/>
                <w:lang w:val="en-GB"/>
              </w:rPr>
              <w:t xml:space="preserve"> </w:t>
            </w:r>
            <w:r w:rsidR="00285701" w:rsidRPr="00107B76">
              <w:rPr>
                <w:color w:val="000000"/>
                <w:shd w:val="clear" w:color="auto" w:fill="FFFFFF"/>
                <w:lang w:val="en-GB"/>
              </w:rPr>
              <w:t>and other expe</w:t>
            </w:r>
            <w:r w:rsidR="00D91160" w:rsidRPr="00107B76">
              <w:rPr>
                <w:color w:val="000000"/>
                <w:shd w:val="clear" w:color="auto" w:fill="FFFFFF"/>
                <w:lang w:val="en-GB"/>
              </w:rPr>
              <w:t xml:space="preserve">nses </w:t>
            </w:r>
            <w:r w:rsidR="00CC0C7F" w:rsidRPr="00107B76">
              <w:rPr>
                <w:color w:val="000000"/>
                <w:shd w:val="clear" w:color="auto" w:fill="FFFFFF"/>
                <w:lang w:val="en-GB"/>
              </w:rPr>
              <w:t xml:space="preserve">resulting from </w:t>
            </w:r>
            <w:r w:rsidR="004F2706" w:rsidRPr="00107B76">
              <w:rPr>
                <w:color w:val="000000"/>
                <w:shd w:val="clear" w:color="auto" w:fill="FFFFFF"/>
                <w:lang w:val="en-GB"/>
              </w:rPr>
              <w:t>fulfilment of employer’s</w:t>
            </w:r>
            <w:r w:rsidR="006910B3" w:rsidRPr="00107B76">
              <w:rPr>
                <w:color w:val="000000"/>
                <w:shd w:val="clear" w:color="auto" w:fill="FFFFFF"/>
                <w:lang w:val="en-GB"/>
              </w:rPr>
              <w:t xml:space="preserve"> liabilities </w:t>
            </w:r>
            <w:r w:rsidR="004F2706" w:rsidRPr="00107B76">
              <w:rPr>
                <w:color w:val="000000"/>
                <w:shd w:val="clear" w:color="auto" w:fill="FFFFFF"/>
                <w:lang w:val="en-GB"/>
              </w:rPr>
              <w:t>related</w:t>
            </w:r>
            <w:r w:rsidR="006910B3" w:rsidRPr="00107B76">
              <w:rPr>
                <w:color w:val="000000"/>
                <w:shd w:val="clear" w:color="auto" w:fill="FFFFFF"/>
                <w:lang w:val="en-GB"/>
              </w:rPr>
              <w:t xml:space="preserve"> to </w:t>
            </w:r>
            <w:r w:rsidR="00CE6A11" w:rsidRPr="00107B76">
              <w:rPr>
                <w:color w:val="000000"/>
                <w:shd w:val="clear" w:color="auto" w:fill="FFFFFF"/>
                <w:lang w:val="en-GB"/>
              </w:rPr>
              <w:t xml:space="preserve">employment relations, calculated on the basis of legal acts on </w:t>
            </w:r>
            <w:r w:rsidR="00DC7645" w:rsidRPr="00107B76">
              <w:rPr>
                <w:color w:val="000000"/>
                <w:shd w:val="clear" w:color="auto" w:fill="FFFFFF"/>
                <w:lang w:val="en-GB"/>
              </w:rPr>
              <w:t>wages and employment relationship.</w:t>
            </w:r>
            <w:r w:rsidR="00887531">
              <w:rPr>
                <w:lang w:val="en-GB"/>
              </w:rPr>
              <w:t xml:space="preserve"> If a project is aimed at the activity </w:t>
            </w:r>
            <w:r w:rsidR="00887531">
              <w:rPr>
                <w:i/>
                <w:iCs/>
                <w:lang w:val="en-GB"/>
              </w:rPr>
              <w:t xml:space="preserve">Application of new products/ </w:t>
            </w:r>
            <w:r w:rsidR="00887531">
              <w:rPr>
                <w:i/>
                <w:iCs/>
                <w:lang w:val="en-GB"/>
              </w:rPr>
              <w:lastRenderedPageBreak/>
              <w:t>technologies</w:t>
            </w:r>
            <w:r w:rsidR="00887531">
              <w:rPr>
                <w:lang w:val="en-GB"/>
              </w:rPr>
              <w:t xml:space="preserve"> (subparagraph 13.3 of the Call), this expenditure is ineligible.</w:t>
            </w:r>
          </w:p>
          <w:p w14:paraId="7830C466" w14:textId="3B97788C" w:rsidR="00A402F9" w:rsidRPr="00107B76" w:rsidRDefault="001F3B5F" w:rsidP="00F862E9">
            <w:pPr>
              <w:pStyle w:val="ListParagraph"/>
              <w:numPr>
                <w:ilvl w:val="1"/>
                <w:numId w:val="14"/>
              </w:numPr>
              <w:shd w:val="clear" w:color="auto" w:fill="FFFFFF" w:themeFill="background1"/>
              <w:tabs>
                <w:tab w:val="left" w:pos="181"/>
                <w:tab w:val="left" w:pos="1031"/>
              </w:tabs>
              <w:ind w:left="0" w:firstLine="606"/>
              <w:jc w:val="both"/>
              <w:rPr>
                <w:rFonts w:eastAsia="Calibri"/>
                <w:lang w:val="en-GB"/>
              </w:rPr>
            </w:pPr>
            <w:r w:rsidRPr="00107B76">
              <w:rPr>
                <w:rFonts w:eastAsia="Calibri"/>
                <w:lang w:val="en-GB"/>
              </w:rPr>
              <w:t>W</w:t>
            </w:r>
            <w:r w:rsidRPr="00107B76">
              <w:rPr>
                <w:lang w:val="en-GB"/>
              </w:rPr>
              <w:t xml:space="preserve">age costs shall not exceed </w:t>
            </w:r>
            <w:r w:rsidR="00887531" w:rsidRPr="00107B76">
              <w:rPr>
                <w:lang w:val="en-GB"/>
              </w:rPr>
              <w:t xml:space="preserve">existing on the market </w:t>
            </w:r>
            <w:r w:rsidRPr="00107B76">
              <w:rPr>
                <w:lang w:val="en-GB"/>
              </w:rPr>
              <w:t>salary rates of corresponding specialisation and qualification workers</w:t>
            </w:r>
            <w:r w:rsidR="00887531">
              <w:rPr>
                <w:lang w:val="en-GB"/>
              </w:rPr>
              <w:t>, except for duly justified cases.</w:t>
            </w:r>
            <w:r w:rsidRPr="00107B76">
              <w:rPr>
                <w:lang w:val="en-GB"/>
              </w:rPr>
              <w:t xml:space="preserve"> Planning of wages can be based on one of the following: official statistics of the country concerned, provided by an </w:t>
            </w:r>
            <w:r w:rsidR="00577EAF" w:rsidRPr="00107B76">
              <w:rPr>
                <w:lang w:val="en-GB"/>
              </w:rPr>
              <w:t>A</w:t>
            </w:r>
            <w:r w:rsidRPr="00107B76">
              <w:rPr>
                <w:lang w:val="en-GB"/>
              </w:rPr>
              <w:t>pplicant</w:t>
            </w:r>
            <w:r w:rsidR="00577EAF" w:rsidRPr="00107B76">
              <w:rPr>
                <w:lang w:val="en-GB"/>
              </w:rPr>
              <w:t>’s</w:t>
            </w:r>
            <w:r w:rsidRPr="00107B76">
              <w:rPr>
                <w:lang w:val="en-GB"/>
              </w:rPr>
              <w:t xml:space="preserve"> or partner</w:t>
            </w:r>
            <w:r w:rsidR="00577EAF" w:rsidRPr="00107B76">
              <w:rPr>
                <w:lang w:val="en-GB"/>
              </w:rPr>
              <w:t>’s</w:t>
            </w:r>
            <w:r w:rsidRPr="00107B76">
              <w:rPr>
                <w:lang w:val="en-GB"/>
              </w:rPr>
              <w:t xml:space="preserve"> historical data on wages of a relevant individual, data on</w:t>
            </w:r>
            <w:r w:rsidR="00BF6240" w:rsidRPr="00107B76">
              <w:rPr>
                <w:lang w:val="en-GB"/>
              </w:rPr>
              <w:t xml:space="preserve"> a</w:t>
            </w:r>
            <w:r w:rsidRPr="00107B76">
              <w:rPr>
                <w:lang w:val="en-GB"/>
              </w:rPr>
              <w:t xml:space="preserve"> usual wage paid in </w:t>
            </w:r>
            <w:r w:rsidR="00BF6240" w:rsidRPr="00107B76">
              <w:rPr>
                <w:lang w:val="en-GB"/>
              </w:rPr>
              <w:t>the</w:t>
            </w:r>
            <w:r w:rsidRPr="00107B76">
              <w:rPr>
                <w:lang w:val="en-GB"/>
              </w:rPr>
              <w:t xml:space="preserve"> entity</w:t>
            </w:r>
            <w:r w:rsidR="00577EAF" w:rsidRPr="00107B76">
              <w:rPr>
                <w:lang w:val="en-GB"/>
              </w:rPr>
              <w:t xml:space="preserve"> concerned</w:t>
            </w:r>
            <w:r w:rsidRPr="00107B76">
              <w:rPr>
                <w:lang w:val="en-GB"/>
              </w:rPr>
              <w:t xml:space="preserve"> (institution or organisation) for corresponding job functions or responsibilities (for example, a certificate regarding an average 6 months’ salary of a relevant individual, certificates regarding average gross income of employees having a corresponding job description (or similar responsibilities), publicly declared by a </w:t>
            </w:r>
            <w:r w:rsidR="00BF6240" w:rsidRPr="00107B76">
              <w:rPr>
                <w:lang w:val="en-GB"/>
              </w:rPr>
              <w:t>P</w:t>
            </w:r>
            <w:r w:rsidRPr="00107B76">
              <w:rPr>
                <w:lang w:val="en-GB"/>
              </w:rPr>
              <w:t xml:space="preserve">roject </w:t>
            </w:r>
            <w:r w:rsidR="00BF6240" w:rsidRPr="00107B76">
              <w:rPr>
                <w:lang w:val="en-GB"/>
              </w:rPr>
              <w:t>P</w:t>
            </w:r>
            <w:r w:rsidRPr="00107B76">
              <w:rPr>
                <w:lang w:val="en-GB"/>
              </w:rPr>
              <w:t xml:space="preserve">romoter information on an average salary in </w:t>
            </w:r>
            <w:r w:rsidR="00D04570" w:rsidRPr="00107B76">
              <w:rPr>
                <w:lang w:val="en-GB"/>
              </w:rPr>
              <w:t>the</w:t>
            </w:r>
            <w:r w:rsidRPr="00107B76">
              <w:rPr>
                <w:lang w:val="en-GB"/>
              </w:rPr>
              <w:t xml:space="preserve"> entity</w:t>
            </w:r>
            <w:r w:rsidR="00577EAF" w:rsidRPr="00107B76">
              <w:rPr>
                <w:lang w:val="en-GB"/>
              </w:rPr>
              <w:t xml:space="preserve"> concerned</w:t>
            </w:r>
            <w:r w:rsidRPr="00107B76">
              <w:rPr>
                <w:lang w:val="en-GB"/>
              </w:rPr>
              <w:t xml:space="preserve"> (institution or organisation, etc.)</w:t>
            </w:r>
          </w:p>
          <w:p w14:paraId="1E0CCAF2" w14:textId="2701559C" w:rsidR="00D0037C" w:rsidRDefault="00A61BAB" w:rsidP="00F862E9">
            <w:pPr>
              <w:pStyle w:val="ListParagraph"/>
              <w:numPr>
                <w:ilvl w:val="2"/>
                <w:numId w:val="14"/>
              </w:numPr>
              <w:tabs>
                <w:tab w:val="left" w:pos="181"/>
              </w:tabs>
              <w:ind w:left="0" w:firstLine="606"/>
              <w:jc w:val="both"/>
              <w:rPr>
                <w:rFonts w:eastAsia="Calibri"/>
                <w:lang w:val="en-GB"/>
              </w:rPr>
            </w:pPr>
            <w:r w:rsidRPr="00107B76">
              <w:rPr>
                <w:rFonts w:eastAsia="Calibri"/>
                <w:lang w:val="en-GB"/>
              </w:rPr>
              <w:t xml:space="preserve">An application shall contain information regarding the amount of planned working hours (days, months) for each position during implementation of a project and an average standard scales of unit costs per an hour, specifying on which basis (or) using which </w:t>
            </w:r>
            <w:r w:rsidRPr="00887531">
              <w:rPr>
                <w:rFonts w:eastAsia="Calibri"/>
                <w:lang w:val="en-GB"/>
              </w:rPr>
              <w:t xml:space="preserve">method calculations have been carried  out and adding, if necessary, </w:t>
            </w:r>
            <w:r w:rsidRPr="00040D12">
              <w:rPr>
                <w:rFonts w:eastAsia="Calibri"/>
                <w:lang w:val="en-GB"/>
              </w:rPr>
              <w:t xml:space="preserve">supporting documents. </w:t>
            </w:r>
          </w:p>
          <w:p w14:paraId="472871FE" w14:textId="2B130D76" w:rsidR="00A402F9" w:rsidRPr="00040D12" w:rsidRDefault="00CE0F7B" w:rsidP="00040D12">
            <w:pPr>
              <w:pStyle w:val="ListParagraph"/>
              <w:numPr>
                <w:ilvl w:val="1"/>
                <w:numId w:val="14"/>
              </w:numPr>
              <w:tabs>
                <w:tab w:val="left" w:pos="181"/>
                <w:tab w:val="left" w:pos="1177"/>
              </w:tabs>
              <w:ind w:left="0" w:firstLine="610"/>
              <w:jc w:val="both"/>
              <w:rPr>
                <w:rFonts w:eastAsia="Calibri"/>
                <w:lang w:val="en-GB"/>
              </w:rPr>
            </w:pPr>
            <w:r w:rsidRPr="00040D12">
              <w:rPr>
                <w:rFonts w:eastAsia="Calibri"/>
                <w:lang w:val="en-GB"/>
              </w:rPr>
              <w:t>W</w:t>
            </w:r>
            <w:r w:rsidR="00445A74" w:rsidRPr="00040D12">
              <w:rPr>
                <w:lang w:val="en-GB"/>
              </w:rPr>
              <w:t>age costs of holidays and additional rest days of staff</w:t>
            </w:r>
            <w:r w:rsidR="00F862E9" w:rsidRPr="00040D12">
              <w:rPr>
                <w:lang w:val="en-GB"/>
              </w:rPr>
              <w:t xml:space="preserve"> of a project promoter or Lithuanian partner</w:t>
            </w:r>
            <w:r w:rsidR="00445A74" w:rsidRPr="00040D12">
              <w:rPr>
                <w:lang w:val="en-GB"/>
              </w:rPr>
              <w:t xml:space="preserve"> involved in implementation of a project will be calculated on the basis of standard scales of unit costs, in line with the Research Report on Determining Standard Scales of Unit Costs for Annual Holidays and Additional Rest Days No FN-005</w:t>
            </w:r>
            <w:r w:rsidR="00434882" w:rsidRPr="0057188E">
              <w:rPr>
                <w:rStyle w:val="FootnoteReference"/>
                <w:lang w:eastAsia="lt-LT"/>
              </w:rPr>
              <w:footnoteReference w:id="6"/>
            </w:r>
            <w:r w:rsidR="00445A74" w:rsidRPr="00040D12">
              <w:rPr>
                <w:lang w:val="en-GB"/>
              </w:rPr>
              <w:t xml:space="preserve">, issued by the Ministry of Finance of the Republic of Lithuania on 19 January 2016, published on the webpage www.esinvesticijos.lt (section </w:t>
            </w:r>
            <w:r w:rsidR="000C28CA" w:rsidRPr="00040D12">
              <w:rPr>
                <w:lang w:val="en-GB"/>
              </w:rPr>
              <w:t>“</w:t>
            </w:r>
            <w:r w:rsidR="00445A74" w:rsidRPr="00040D12">
              <w:rPr>
                <w:lang w:val="en-GB"/>
              </w:rPr>
              <w:t>Documents</w:t>
            </w:r>
            <w:r w:rsidR="000C28CA" w:rsidRPr="00040D12">
              <w:rPr>
                <w:lang w:val="en-GB"/>
              </w:rPr>
              <w:t>”</w:t>
            </w:r>
            <w:r w:rsidR="00445A74" w:rsidRPr="00040D12">
              <w:rPr>
                <w:lang w:val="en-GB"/>
              </w:rPr>
              <w:t xml:space="preserve">, sub-section </w:t>
            </w:r>
            <w:r w:rsidR="000C28CA" w:rsidRPr="00040D12">
              <w:rPr>
                <w:lang w:val="en-GB"/>
              </w:rPr>
              <w:t>“</w:t>
            </w:r>
            <w:r w:rsidR="00445A74" w:rsidRPr="00040D12">
              <w:rPr>
                <w:lang w:val="en-GB"/>
              </w:rPr>
              <w:t>Research</w:t>
            </w:r>
            <w:r w:rsidR="000C28CA" w:rsidRPr="00040D12">
              <w:rPr>
                <w:lang w:val="en-GB"/>
              </w:rPr>
              <w:t>”</w:t>
            </w:r>
            <w:r w:rsidR="00445A74" w:rsidRPr="00040D12">
              <w:rPr>
                <w:lang w:val="en-GB"/>
              </w:rPr>
              <w:t xml:space="preserve">, </w:t>
            </w:r>
            <w:r w:rsidR="000C28CA" w:rsidRPr="00040D12">
              <w:rPr>
                <w:rFonts w:eastAsia="Calibri"/>
                <w:lang w:val="en-GB"/>
              </w:rPr>
              <w:t>“</w:t>
            </w:r>
            <w:r w:rsidR="00445A74" w:rsidRPr="00040D12">
              <w:rPr>
                <w:rFonts w:eastAsia="Calibri"/>
                <w:lang w:val="en-GB"/>
              </w:rPr>
              <w:t>Research on Standard Scales of Units Costs</w:t>
            </w:r>
            <w:r w:rsidR="000C28CA" w:rsidRPr="00040D12">
              <w:rPr>
                <w:rFonts w:eastAsia="Calibri"/>
                <w:lang w:val="en-GB"/>
              </w:rPr>
              <w:t>”</w:t>
            </w:r>
            <w:r w:rsidR="00445A74" w:rsidRPr="00040D12">
              <w:rPr>
                <w:lang w:val="en-GB"/>
              </w:rPr>
              <w:t>).</w:t>
            </w:r>
            <w:r w:rsidR="00F862E9" w:rsidRPr="00040D12">
              <w:rPr>
                <w:lang w:val="en-GB"/>
              </w:rPr>
              <w:t xml:space="preserve"> </w:t>
            </w:r>
          </w:p>
          <w:p w14:paraId="424DDD6E" w14:textId="728D0800" w:rsidR="00F862E9" w:rsidRPr="00107B76" w:rsidRDefault="00F862E9" w:rsidP="00F862E9">
            <w:pPr>
              <w:pStyle w:val="ListParagraph"/>
              <w:numPr>
                <w:ilvl w:val="2"/>
                <w:numId w:val="14"/>
              </w:numPr>
              <w:shd w:val="clear" w:color="auto" w:fill="FFFFFF" w:themeFill="background1"/>
              <w:tabs>
                <w:tab w:val="left" w:pos="889"/>
                <w:tab w:val="left" w:pos="1172"/>
              </w:tabs>
              <w:ind w:left="0" w:firstLine="606"/>
              <w:jc w:val="both"/>
              <w:rPr>
                <w:rFonts w:eastAsia="Calibri"/>
                <w:lang w:val="en-GB"/>
              </w:rPr>
            </w:pPr>
            <w:r w:rsidRPr="00107B76">
              <w:rPr>
                <w:rFonts w:eastAsia="Calibri"/>
                <w:lang w:val="en-GB"/>
              </w:rPr>
              <w:t xml:space="preserve">For partners form Norway, wage costs of holidays and additional rest days will be calculated on the basis of </w:t>
            </w:r>
            <w:r w:rsidRPr="00107B76">
              <w:rPr>
                <w:lang w:val="en-GB"/>
              </w:rPr>
              <w:t>partner’s usual practice.</w:t>
            </w:r>
          </w:p>
        </w:tc>
      </w:tr>
      <w:tr w:rsidR="007B160F" w:rsidRPr="00107B76" w14:paraId="467E7B3A" w14:textId="77777777" w:rsidTr="00D64857">
        <w:tc>
          <w:tcPr>
            <w:tcW w:w="880" w:type="dxa"/>
            <w:shd w:val="clear" w:color="auto" w:fill="FFFFFF" w:themeFill="background1"/>
            <w:tcMar>
              <w:top w:w="0" w:type="dxa"/>
              <w:left w:w="108" w:type="dxa"/>
              <w:bottom w:w="0" w:type="dxa"/>
              <w:right w:w="108" w:type="dxa"/>
            </w:tcMar>
            <w:vAlign w:val="center"/>
          </w:tcPr>
          <w:p w14:paraId="72E99BF9" w14:textId="47A99325" w:rsidR="007B160F" w:rsidRPr="00107B76" w:rsidRDefault="007B160F" w:rsidP="00D64857">
            <w:pPr>
              <w:shd w:val="clear" w:color="auto" w:fill="FFFFFF" w:themeFill="background1"/>
              <w:rPr>
                <w:lang w:val="en-GB" w:eastAsia="lt-LT"/>
              </w:rPr>
            </w:pPr>
            <w:r w:rsidRPr="00107B76">
              <w:rPr>
                <w:lang w:val="en-GB" w:eastAsia="lt-LT"/>
              </w:rPr>
              <w:lastRenderedPageBreak/>
              <w:t>7.</w:t>
            </w:r>
          </w:p>
        </w:tc>
        <w:tc>
          <w:tcPr>
            <w:tcW w:w="1837" w:type="dxa"/>
            <w:gridSpan w:val="2"/>
            <w:shd w:val="clear" w:color="auto" w:fill="FFFFFF" w:themeFill="background1"/>
            <w:vAlign w:val="center"/>
          </w:tcPr>
          <w:p w14:paraId="334251C5" w14:textId="3F7B0E99" w:rsidR="007B160F" w:rsidRPr="00107B76" w:rsidRDefault="000A65CA" w:rsidP="00D64857">
            <w:pPr>
              <w:shd w:val="clear" w:color="auto" w:fill="FFFFFF" w:themeFill="background1"/>
              <w:ind w:left="34"/>
              <w:rPr>
                <w:lang w:val="en-GB" w:eastAsia="lt-LT"/>
              </w:rPr>
            </w:pPr>
            <w:r w:rsidRPr="00107B76">
              <w:rPr>
                <w:lang w:val="en-GB" w:eastAsia="lt-LT"/>
              </w:rPr>
              <w:t>Indirect costs</w:t>
            </w:r>
          </w:p>
        </w:tc>
        <w:tc>
          <w:tcPr>
            <w:tcW w:w="6809" w:type="dxa"/>
            <w:shd w:val="clear" w:color="auto" w:fill="FFFFFF" w:themeFill="background1"/>
            <w:tcMar>
              <w:top w:w="0" w:type="dxa"/>
              <w:left w:w="108" w:type="dxa"/>
              <w:bottom w:w="0" w:type="dxa"/>
              <w:right w:w="108" w:type="dxa"/>
            </w:tcMar>
            <w:vAlign w:val="center"/>
          </w:tcPr>
          <w:p w14:paraId="1247D3FA" w14:textId="27DD2720" w:rsidR="007B160F" w:rsidRPr="00107B76" w:rsidRDefault="007B160F" w:rsidP="00D64857">
            <w:pPr>
              <w:shd w:val="clear" w:color="auto" w:fill="FFFFFF" w:themeFill="background1"/>
              <w:ind w:left="33" w:firstLine="572"/>
              <w:jc w:val="both"/>
              <w:rPr>
                <w:rFonts w:eastAsiaTheme="minorHAnsi"/>
                <w:color w:val="000000"/>
                <w:sz w:val="20"/>
                <w:szCs w:val="20"/>
                <w:lang w:val="en-GB" w:eastAsia="en-US"/>
              </w:rPr>
            </w:pPr>
            <w:r w:rsidRPr="00107B76">
              <w:rPr>
                <w:rFonts w:eastAsia="Calibri"/>
                <w:lang w:val="en-GB"/>
              </w:rPr>
              <w:t xml:space="preserve">7.1. </w:t>
            </w:r>
            <w:r w:rsidR="001F2BF3" w:rsidRPr="00107B76">
              <w:rPr>
                <w:rFonts w:eastAsia="Calibri"/>
                <w:lang w:val="en-GB"/>
              </w:rPr>
              <w:t xml:space="preserve">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w:t>
            </w:r>
          </w:p>
          <w:p w14:paraId="2C9E5DD7" w14:textId="7C84F1DC" w:rsidR="00BD17BF" w:rsidRPr="00107B76" w:rsidRDefault="007B160F" w:rsidP="00D64857">
            <w:pPr>
              <w:shd w:val="clear" w:color="auto" w:fill="FFFFFF" w:themeFill="background1"/>
              <w:ind w:left="33" w:firstLine="572"/>
              <w:jc w:val="both"/>
              <w:rPr>
                <w:rFonts w:eastAsia="Calibri"/>
                <w:lang w:val="en-GB"/>
              </w:rPr>
            </w:pPr>
            <w:r w:rsidRPr="00107B76">
              <w:rPr>
                <w:rFonts w:eastAsia="Calibri"/>
                <w:lang w:val="en-GB"/>
              </w:rPr>
              <w:t xml:space="preserve">7.2. </w:t>
            </w:r>
            <w:r w:rsidR="00E21648" w:rsidRPr="00107B76">
              <w:rPr>
                <w:rFonts w:eastAsia="Calibri"/>
                <w:lang w:val="en-GB"/>
              </w:rPr>
              <w:t xml:space="preserve">Indirect costs may include such </w:t>
            </w:r>
            <w:r w:rsidR="005F169A" w:rsidRPr="00107B76">
              <w:rPr>
                <w:rFonts w:eastAsia="Calibri"/>
                <w:lang w:val="en-GB"/>
              </w:rPr>
              <w:t xml:space="preserve">costs as, for example, </w:t>
            </w:r>
            <w:r w:rsidR="00BD17BF" w:rsidRPr="00107B76">
              <w:rPr>
                <w:rFonts w:eastAsia="Calibri"/>
                <w:lang w:val="en-GB"/>
              </w:rPr>
              <w:t>utilit</w:t>
            </w:r>
            <w:r w:rsidR="00156C64" w:rsidRPr="00107B76">
              <w:rPr>
                <w:rFonts w:eastAsia="Calibri"/>
                <w:lang w:val="en-GB"/>
              </w:rPr>
              <w:t>ies</w:t>
            </w:r>
            <w:r w:rsidR="00646014" w:rsidRPr="00107B76">
              <w:rPr>
                <w:rFonts w:eastAsia="Calibri"/>
                <w:lang w:val="en-GB"/>
              </w:rPr>
              <w:t xml:space="preserve"> </w:t>
            </w:r>
            <w:r w:rsidR="00F866E8" w:rsidRPr="00107B76">
              <w:rPr>
                <w:rFonts w:eastAsia="Calibri"/>
                <w:lang w:val="en-GB"/>
              </w:rPr>
              <w:t xml:space="preserve">for premises </w:t>
            </w:r>
            <w:r w:rsidR="00917B96" w:rsidRPr="00107B76">
              <w:rPr>
                <w:rFonts w:eastAsia="Calibri"/>
                <w:lang w:val="en-GB"/>
              </w:rPr>
              <w:t xml:space="preserve">used </w:t>
            </w:r>
            <w:r w:rsidR="00576B09" w:rsidRPr="00107B76">
              <w:rPr>
                <w:rFonts w:eastAsia="Calibri"/>
                <w:lang w:val="en-GB"/>
              </w:rPr>
              <w:t>under the</w:t>
            </w:r>
            <w:r w:rsidR="00917B96" w:rsidRPr="00107B76">
              <w:rPr>
                <w:rFonts w:eastAsia="Calibri"/>
                <w:lang w:val="en-GB"/>
              </w:rPr>
              <w:t xml:space="preserve"> project </w:t>
            </w:r>
            <w:r w:rsidR="00576B09" w:rsidRPr="00107B76">
              <w:rPr>
                <w:rFonts w:eastAsia="Calibri"/>
                <w:lang w:val="en-GB"/>
              </w:rPr>
              <w:t xml:space="preserve">(water, </w:t>
            </w:r>
            <w:r w:rsidR="006E00B7" w:rsidRPr="00107B76">
              <w:rPr>
                <w:rFonts w:eastAsia="Calibri"/>
                <w:lang w:val="en-GB"/>
              </w:rPr>
              <w:t>electricity</w:t>
            </w:r>
            <w:r w:rsidR="00576B09" w:rsidRPr="00107B76">
              <w:rPr>
                <w:rFonts w:eastAsia="Calibri"/>
                <w:lang w:val="en-GB"/>
              </w:rPr>
              <w:t>, etc.)</w:t>
            </w:r>
            <w:r w:rsidR="00D55E32" w:rsidRPr="00107B76">
              <w:rPr>
                <w:rFonts w:eastAsia="Calibri"/>
                <w:lang w:val="en-GB"/>
              </w:rPr>
              <w:t>, services (</w:t>
            </w:r>
            <w:r w:rsidR="00F10B2A" w:rsidRPr="00107B76">
              <w:rPr>
                <w:rFonts w:eastAsia="Calibri"/>
                <w:lang w:val="en-GB"/>
              </w:rPr>
              <w:t>security, cleaning services)</w:t>
            </w:r>
            <w:r w:rsidR="006404E7" w:rsidRPr="00107B76">
              <w:rPr>
                <w:rFonts w:eastAsia="Calibri"/>
                <w:lang w:val="en-GB"/>
              </w:rPr>
              <w:t xml:space="preserve">, </w:t>
            </w:r>
            <w:r w:rsidR="00035BB5" w:rsidRPr="00107B76">
              <w:rPr>
                <w:rFonts w:eastAsia="Calibri"/>
                <w:lang w:val="en-GB"/>
              </w:rPr>
              <w:t>communication</w:t>
            </w:r>
            <w:r w:rsidR="006404E7" w:rsidRPr="00107B76">
              <w:rPr>
                <w:rFonts w:eastAsia="Calibri"/>
                <w:lang w:val="en-GB"/>
              </w:rPr>
              <w:t xml:space="preserve"> </w:t>
            </w:r>
            <w:r w:rsidR="00BE76FE" w:rsidRPr="00107B76">
              <w:rPr>
                <w:rFonts w:eastAsia="Calibri"/>
                <w:lang w:val="en-GB"/>
              </w:rPr>
              <w:t xml:space="preserve">and </w:t>
            </w:r>
            <w:r w:rsidR="00035BB5" w:rsidRPr="00107B76">
              <w:rPr>
                <w:rFonts w:eastAsia="Calibri"/>
                <w:lang w:val="en-GB"/>
              </w:rPr>
              <w:t>mailing</w:t>
            </w:r>
            <w:r w:rsidR="00BE76FE" w:rsidRPr="00107B76">
              <w:rPr>
                <w:rFonts w:eastAsia="Calibri"/>
                <w:lang w:val="en-GB"/>
              </w:rPr>
              <w:t xml:space="preserve"> services</w:t>
            </w:r>
            <w:r w:rsidR="00035BB5" w:rsidRPr="00107B76">
              <w:rPr>
                <w:rFonts w:eastAsia="Calibri"/>
                <w:lang w:val="en-GB"/>
              </w:rPr>
              <w:t xml:space="preserve">, </w:t>
            </w:r>
            <w:r w:rsidR="00E57CEB" w:rsidRPr="00107B76">
              <w:rPr>
                <w:rFonts w:eastAsia="Calibri"/>
                <w:lang w:val="en-GB"/>
              </w:rPr>
              <w:t>insurance</w:t>
            </w:r>
            <w:r w:rsidR="00035BB5" w:rsidRPr="00107B76">
              <w:rPr>
                <w:rFonts w:eastAsia="Calibri"/>
                <w:lang w:val="en-GB"/>
              </w:rPr>
              <w:t xml:space="preserve"> </w:t>
            </w:r>
            <w:r w:rsidR="00760515" w:rsidRPr="00107B76">
              <w:rPr>
                <w:rFonts w:eastAsia="Calibri"/>
                <w:lang w:val="en-GB"/>
              </w:rPr>
              <w:t xml:space="preserve">costs; </w:t>
            </w:r>
            <w:r w:rsidR="00215A21" w:rsidRPr="00107B76">
              <w:rPr>
                <w:rFonts w:eastAsia="Calibri"/>
                <w:lang w:val="en-GB"/>
              </w:rPr>
              <w:t xml:space="preserve">as well as </w:t>
            </w:r>
            <w:r w:rsidR="00914CAC" w:rsidRPr="00107B76">
              <w:rPr>
                <w:rFonts w:eastAsia="Calibri"/>
                <w:lang w:val="en-GB"/>
              </w:rPr>
              <w:t>administrative</w:t>
            </w:r>
            <w:r w:rsidR="005E3CA4" w:rsidRPr="00107B76">
              <w:rPr>
                <w:rFonts w:eastAsia="Calibri"/>
                <w:lang w:val="en-GB"/>
              </w:rPr>
              <w:t xml:space="preserve"> personnel</w:t>
            </w:r>
            <w:r w:rsidR="00F53432" w:rsidRPr="00107B76">
              <w:rPr>
                <w:rFonts w:eastAsia="Calibri"/>
                <w:lang w:val="en-GB"/>
              </w:rPr>
              <w:t xml:space="preserve"> </w:t>
            </w:r>
            <w:r w:rsidR="00DC64D7" w:rsidRPr="00107B76">
              <w:rPr>
                <w:rFonts w:eastAsia="Calibri"/>
                <w:lang w:val="en-GB"/>
              </w:rPr>
              <w:t xml:space="preserve">(finance, </w:t>
            </w:r>
            <w:r w:rsidR="00EA6A98" w:rsidRPr="00107B76">
              <w:rPr>
                <w:rFonts w:eastAsia="Calibri"/>
                <w:lang w:val="en-GB"/>
              </w:rPr>
              <w:t>law</w:t>
            </w:r>
            <w:r w:rsidR="005D47AC" w:rsidRPr="00107B76">
              <w:rPr>
                <w:rFonts w:eastAsia="Calibri"/>
                <w:lang w:val="en-GB"/>
              </w:rPr>
              <w:t xml:space="preserve"> and procurement</w:t>
            </w:r>
            <w:r w:rsidR="00335C25" w:rsidRPr="00107B76">
              <w:rPr>
                <w:rFonts w:eastAsia="Calibri"/>
                <w:lang w:val="en-GB"/>
              </w:rPr>
              <w:t xml:space="preserve">, </w:t>
            </w:r>
            <w:r w:rsidR="00EA6A98" w:rsidRPr="00107B76">
              <w:rPr>
                <w:rFonts w:eastAsia="Calibri"/>
                <w:lang w:val="en-GB"/>
              </w:rPr>
              <w:t>administrati</w:t>
            </w:r>
            <w:r w:rsidR="00914CAC" w:rsidRPr="00107B76">
              <w:rPr>
                <w:rFonts w:eastAsia="Calibri"/>
                <w:lang w:val="en-GB"/>
              </w:rPr>
              <w:t>on</w:t>
            </w:r>
            <w:r w:rsidR="00335C25" w:rsidRPr="00107B76">
              <w:rPr>
                <w:rFonts w:eastAsia="Calibri"/>
                <w:lang w:val="en-GB"/>
              </w:rPr>
              <w:t xml:space="preserve">, </w:t>
            </w:r>
            <w:r w:rsidR="004D60E7" w:rsidRPr="00107B76">
              <w:rPr>
                <w:rFonts w:eastAsia="Calibri"/>
                <w:lang w:val="en-GB"/>
              </w:rPr>
              <w:t>personnel departments</w:t>
            </w:r>
            <w:r w:rsidR="00D21335" w:rsidRPr="00107B76">
              <w:rPr>
                <w:rFonts w:eastAsia="Calibri"/>
                <w:lang w:val="en-GB"/>
              </w:rPr>
              <w:t xml:space="preserve"> and </w:t>
            </w:r>
            <w:r w:rsidR="009960C5" w:rsidRPr="00107B76">
              <w:rPr>
                <w:rFonts w:eastAsia="Calibri"/>
                <w:lang w:val="en-GB"/>
              </w:rPr>
              <w:t>senior management</w:t>
            </w:r>
            <w:r w:rsidR="00686F3E" w:rsidRPr="00107B76">
              <w:rPr>
                <w:rFonts w:eastAsia="Calibri"/>
                <w:lang w:val="en-GB"/>
              </w:rPr>
              <w:t>).</w:t>
            </w:r>
          </w:p>
          <w:p w14:paraId="3CF5F802" w14:textId="4A15A9BF" w:rsidR="00650F76" w:rsidRPr="00107B76" w:rsidRDefault="00E46316" w:rsidP="00D64857">
            <w:pPr>
              <w:shd w:val="clear" w:color="auto" w:fill="FFFFFF" w:themeFill="background1"/>
              <w:ind w:left="33" w:firstLine="572"/>
              <w:jc w:val="both"/>
              <w:rPr>
                <w:rFonts w:eastAsia="Calibri"/>
                <w:lang w:val="en-GB"/>
              </w:rPr>
            </w:pPr>
            <w:r w:rsidRPr="00107B76">
              <w:rPr>
                <w:rFonts w:eastAsia="Calibri"/>
                <w:lang w:val="en-GB"/>
              </w:rPr>
              <w:t xml:space="preserve">7.3. </w:t>
            </w:r>
            <w:r w:rsidR="006870CD" w:rsidRPr="00107B76">
              <w:rPr>
                <w:rFonts w:eastAsia="Calibri"/>
                <w:lang w:val="en-GB"/>
              </w:rPr>
              <w:t xml:space="preserve">Indirect costs can be </w:t>
            </w:r>
            <w:r w:rsidR="0018649E" w:rsidRPr="00107B76">
              <w:rPr>
                <w:rFonts w:eastAsia="Calibri"/>
                <w:lang w:val="en-GB"/>
              </w:rPr>
              <w:t>identified:</w:t>
            </w:r>
          </w:p>
          <w:p w14:paraId="0EA4FFE0" w14:textId="4D2A0713" w:rsidR="007B160F" w:rsidRPr="00107B76" w:rsidRDefault="00601507" w:rsidP="00D64857">
            <w:pPr>
              <w:pStyle w:val="ListParagraph"/>
              <w:numPr>
                <w:ilvl w:val="2"/>
                <w:numId w:val="15"/>
              </w:numPr>
              <w:shd w:val="clear" w:color="auto" w:fill="FFFFFF" w:themeFill="background1"/>
              <w:tabs>
                <w:tab w:val="left" w:pos="1314"/>
                <w:tab w:val="left" w:pos="1456"/>
              </w:tabs>
              <w:ind w:left="0" w:firstLine="605"/>
              <w:jc w:val="both"/>
              <w:rPr>
                <w:rFonts w:eastAsia="Calibri"/>
                <w:lang w:val="en-GB"/>
              </w:rPr>
            </w:pPr>
            <w:r w:rsidRPr="00107B76">
              <w:rPr>
                <w:rFonts w:eastAsia="Calibri"/>
                <w:lang w:val="en-GB"/>
              </w:rPr>
              <w:lastRenderedPageBreak/>
              <w:t xml:space="preserve">based </w:t>
            </w:r>
            <w:r w:rsidRPr="00107B76">
              <w:rPr>
                <w:lang w:val="en-GB"/>
              </w:rPr>
              <w:t>on actual indirect costs for those Project Promoters and project partners that have an analytical accounting system to identify their indirect costs as indicated above;</w:t>
            </w:r>
          </w:p>
          <w:p w14:paraId="5086DB96" w14:textId="5C25318F" w:rsidR="00B53564" w:rsidRPr="00107B76" w:rsidRDefault="00E63C87" w:rsidP="00D64857">
            <w:pPr>
              <w:pStyle w:val="ListParagraph"/>
              <w:numPr>
                <w:ilvl w:val="2"/>
                <w:numId w:val="15"/>
              </w:numPr>
              <w:shd w:val="clear" w:color="auto" w:fill="FFFFFF" w:themeFill="background1"/>
              <w:tabs>
                <w:tab w:val="left" w:pos="1314"/>
                <w:tab w:val="left" w:pos="1456"/>
              </w:tabs>
              <w:ind w:left="0" w:firstLine="605"/>
              <w:jc w:val="both"/>
              <w:rPr>
                <w:rFonts w:eastAsia="Calibri"/>
                <w:lang w:val="en-GB"/>
              </w:rPr>
            </w:pPr>
            <w:r w:rsidRPr="00107B76">
              <w:rPr>
                <w:rFonts w:eastAsia="Calibri"/>
                <w:lang w:val="en-GB"/>
              </w:rPr>
              <w:t xml:space="preserve">Applying </w:t>
            </w:r>
            <w:r w:rsidR="0005070B" w:rsidRPr="00107B76">
              <w:rPr>
                <w:rFonts w:eastAsia="Calibri"/>
                <w:lang w:val="en-GB"/>
              </w:rPr>
              <w:t xml:space="preserve">a </w:t>
            </w:r>
            <w:r w:rsidRPr="00107B76">
              <w:rPr>
                <w:rFonts w:eastAsia="Calibri"/>
                <w:lang w:val="en-GB"/>
              </w:rPr>
              <w:t>flat rate:</w:t>
            </w:r>
            <w:r w:rsidR="007B160F" w:rsidRPr="00107B76">
              <w:rPr>
                <w:rFonts w:eastAsia="Calibri"/>
                <w:lang w:val="en-GB"/>
              </w:rPr>
              <w:t xml:space="preserve"> </w:t>
            </w:r>
          </w:p>
          <w:p w14:paraId="7AA603D0" w14:textId="0718314D" w:rsidR="000D446F" w:rsidRPr="00107B76" w:rsidRDefault="00B53564" w:rsidP="00D64857">
            <w:pPr>
              <w:pStyle w:val="ListParagraph"/>
              <w:numPr>
                <w:ilvl w:val="3"/>
                <w:numId w:val="15"/>
              </w:numPr>
              <w:shd w:val="clear" w:color="auto" w:fill="FFFFFF" w:themeFill="background1"/>
              <w:tabs>
                <w:tab w:val="left" w:pos="1314"/>
                <w:tab w:val="left" w:pos="1456"/>
              </w:tabs>
              <w:ind w:left="0" w:firstLine="605"/>
              <w:jc w:val="both"/>
              <w:rPr>
                <w:rFonts w:eastAsia="Calibri"/>
                <w:lang w:val="en-GB"/>
              </w:rPr>
            </w:pPr>
            <w:r w:rsidRPr="00107B76">
              <w:rPr>
                <w:rFonts w:eastAsia="Calibri"/>
                <w:lang w:val="en-GB"/>
              </w:rPr>
              <w:t xml:space="preserve"> </w:t>
            </w:r>
            <w:r w:rsidRPr="00107B76">
              <w:rPr>
                <w:lang w:val="en-GB"/>
              </w:rPr>
              <w:t>a flat rate of up to 25% of total direct eligible costs, excluding direct eligible costs for subcontracting and the costs of resources made available by third parties which are not used on the premises of the Project Promoter or project partner</w:t>
            </w:r>
            <w:r w:rsidR="002C5AF3">
              <w:rPr>
                <w:lang w:val="en-GB"/>
              </w:rPr>
              <w:t>. The maximum flat rate for a project shall be determined following the provisions of the</w:t>
            </w:r>
            <w:r w:rsidR="002C5AF3">
              <w:t xml:space="preserve"> </w:t>
            </w:r>
            <w:r w:rsidR="002C5AF3" w:rsidRPr="002C5AF3">
              <w:rPr>
                <w:lang w:val="en-GB"/>
              </w:rPr>
              <w:t>Guidelines on Establishing Flat Rates for Indirect Costs of a Project</w:t>
            </w:r>
            <w:r w:rsidR="002C5AF3">
              <w:rPr>
                <w:lang w:val="en-GB"/>
              </w:rPr>
              <w:t xml:space="preserve"> approved by MITA</w:t>
            </w:r>
            <w:r w:rsidR="00D04570" w:rsidRPr="00107B76">
              <w:rPr>
                <w:rFonts w:eastAsia="Calibri"/>
                <w:lang w:val="en-GB"/>
              </w:rPr>
              <w:t>;</w:t>
            </w:r>
          </w:p>
          <w:p w14:paraId="24617124" w14:textId="142603E8" w:rsidR="00222867" w:rsidRPr="00107B76" w:rsidRDefault="00DA1F90" w:rsidP="00D64857">
            <w:pPr>
              <w:pStyle w:val="ListParagraph"/>
              <w:numPr>
                <w:ilvl w:val="3"/>
                <w:numId w:val="15"/>
              </w:numPr>
              <w:shd w:val="clear" w:color="auto" w:fill="FFFFFF" w:themeFill="background1"/>
              <w:tabs>
                <w:tab w:val="left" w:pos="1314"/>
                <w:tab w:val="left" w:pos="1456"/>
              </w:tabs>
              <w:ind w:left="0" w:firstLine="605"/>
              <w:jc w:val="both"/>
              <w:rPr>
                <w:lang w:val="en-GB"/>
              </w:rPr>
            </w:pPr>
            <w:r w:rsidRPr="00107B76">
              <w:rPr>
                <w:rFonts w:eastAsia="Calibri"/>
                <w:lang w:val="en-GB"/>
              </w:rPr>
              <w:t>a flat rate of up to 15% of direct eligible staff costs without there being a requirement for the Programme Operator to perform a calculation to determine</w:t>
            </w:r>
            <w:r w:rsidR="00DC0997" w:rsidRPr="00107B76">
              <w:rPr>
                <w:rFonts w:eastAsia="Calibri"/>
                <w:lang w:val="en-GB"/>
              </w:rPr>
              <w:t xml:space="preserve"> direct the applicable rate;</w:t>
            </w:r>
          </w:p>
          <w:p w14:paraId="7B174351" w14:textId="25B2D8AA" w:rsidR="007B160F" w:rsidRPr="00107B76" w:rsidRDefault="00222867" w:rsidP="00D64857">
            <w:pPr>
              <w:pStyle w:val="ListParagraph"/>
              <w:numPr>
                <w:ilvl w:val="3"/>
                <w:numId w:val="15"/>
              </w:numPr>
              <w:shd w:val="clear" w:color="auto" w:fill="FFFFFF" w:themeFill="background1"/>
              <w:tabs>
                <w:tab w:val="left" w:pos="1314"/>
                <w:tab w:val="left" w:pos="1456"/>
              </w:tabs>
              <w:ind w:left="0" w:firstLine="605"/>
              <w:jc w:val="both"/>
              <w:rPr>
                <w:rFonts w:eastAsia="Calibri"/>
                <w:lang w:val="en-GB"/>
              </w:rPr>
            </w:pPr>
            <w:r w:rsidRPr="00107B76">
              <w:rPr>
                <w:rFonts w:eastAsia="Calibri"/>
                <w:lang w:val="en-GB"/>
              </w:rPr>
              <w:t>a flat rate applied to direct eligible costs based on existing methods and corresponding rates applicable in</w:t>
            </w:r>
            <w:r w:rsidR="00D04570" w:rsidRPr="00107B76">
              <w:rPr>
                <w:rFonts w:eastAsia="Calibri"/>
                <w:lang w:val="en-GB"/>
              </w:rPr>
              <w:t xml:space="preserve"> the</w:t>
            </w:r>
            <w:r w:rsidRPr="00107B76">
              <w:rPr>
                <w:rFonts w:eastAsia="Calibri"/>
                <w:lang w:val="en-GB"/>
              </w:rPr>
              <w:t xml:space="preserve"> European Union</w:t>
            </w:r>
            <w:r w:rsidR="00160529" w:rsidRPr="00107B76">
              <w:rPr>
                <w:rFonts w:eastAsia="Calibri"/>
                <w:lang w:val="en-GB"/>
              </w:rPr>
              <w:t xml:space="preserve"> policies </w:t>
            </w:r>
            <w:r w:rsidR="00870F26" w:rsidRPr="00107B76">
              <w:rPr>
                <w:rFonts w:eastAsia="Calibri"/>
                <w:lang w:val="en-GB"/>
              </w:rPr>
              <w:t>for similar types of project</w:t>
            </w:r>
            <w:r w:rsidR="00D04570" w:rsidRPr="00107B76">
              <w:rPr>
                <w:rFonts w:eastAsia="Calibri"/>
                <w:lang w:val="en-GB"/>
              </w:rPr>
              <w:t>s</w:t>
            </w:r>
            <w:r w:rsidR="00870F26" w:rsidRPr="00107B76">
              <w:rPr>
                <w:rFonts w:eastAsia="Calibri"/>
                <w:lang w:val="en-GB"/>
              </w:rPr>
              <w:t xml:space="preserve"> </w:t>
            </w:r>
            <w:r w:rsidR="00574592" w:rsidRPr="00107B76">
              <w:rPr>
                <w:rFonts w:eastAsia="Calibri"/>
                <w:lang w:val="en-GB"/>
              </w:rPr>
              <w:t>and Project Promoter.</w:t>
            </w:r>
          </w:p>
        </w:tc>
      </w:tr>
    </w:tbl>
    <w:p w14:paraId="76003214" w14:textId="68344DD8" w:rsidR="007C0711" w:rsidRPr="00107B76" w:rsidRDefault="007C0711" w:rsidP="004C0A76">
      <w:pPr>
        <w:pStyle w:val="ListParagraph"/>
        <w:ind w:left="360"/>
        <w:jc w:val="both"/>
        <w:rPr>
          <w:color w:val="000000"/>
          <w:lang w:val="en-GB"/>
        </w:rPr>
      </w:pPr>
    </w:p>
    <w:p w14:paraId="3C00E99F" w14:textId="31AD6E25" w:rsidR="00A402F9" w:rsidRPr="00107B76" w:rsidRDefault="00634C35" w:rsidP="00AD73C5">
      <w:pPr>
        <w:pStyle w:val="ListParagraph"/>
        <w:numPr>
          <w:ilvl w:val="0"/>
          <w:numId w:val="3"/>
        </w:numPr>
        <w:ind w:left="0" w:firstLine="709"/>
        <w:rPr>
          <w:lang w:val="en-GB"/>
        </w:rPr>
      </w:pPr>
      <w:r w:rsidRPr="00107B76">
        <w:rPr>
          <w:color w:val="000000"/>
          <w:lang w:val="en-GB"/>
        </w:rPr>
        <w:t>The followi</w:t>
      </w:r>
      <w:r w:rsidR="00CC4B41" w:rsidRPr="00107B76">
        <w:rPr>
          <w:color w:val="000000"/>
          <w:lang w:val="en-GB"/>
        </w:rPr>
        <w:t>n</w:t>
      </w:r>
      <w:r w:rsidRPr="00107B76">
        <w:rPr>
          <w:color w:val="000000"/>
          <w:lang w:val="en-GB"/>
        </w:rPr>
        <w:t xml:space="preserve">g costs shall not be </w:t>
      </w:r>
      <w:r w:rsidR="005C066E" w:rsidRPr="00107B76">
        <w:rPr>
          <w:color w:val="000000"/>
          <w:lang w:val="en-GB"/>
        </w:rPr>
        <w:t xml:space="preserve">considered </w:t>
      </w:r>
      <w:r w:rsidRPr="00107B76">
        <w:rPr>
          <w:color w:val="000000"/>
          <w:lang w:val="en-GB"/>
        </w:rPr>
        <w:t xml:space="preserve">eligible </w:t>
      </w:r>
      <w:r w:rsidR="005C066E" w:rsidRPr="00107B76">
        <w:rPr>
          <w:color w:val="000000"/>
          <w:lang w:val="en-GB"/>
        </w:rPr>
        <w:t>under the Call:</w:t>
      </w:r>
    </w:p>
    <w:p w14:paraId="4836C205" w14:textId="77777777" w:rsidR="00F6056A" w:rsidRPr="00107B76" w:rsidRDefault="00F6056A" w:rsidP="00AD73C5">
      <w:pPr>
        <w:pStyle w:val="ListParagraph"/>
        <w:numPr>
          <w:ilvl w:val="1"/>
          <w:numId w:val="3"/>
        </w:numPr>
        <w:ind w:left="0" w:firstLine="709"/>
        <w:contextualSpacing w:val="0"/>
        <w:jc w:val="both"/>
        <w:rPr>
          <w:lang w:val="en-GB"/>
        </w:rPr>
      </w:pPr>
      <w:r w:rsidRPr="00107B76">
        <w:rPr>
          <w:lang w:val="en-GB"/>
        </w:rPr>
        <w:t>p</w:t>
      </w:r>
      <w:r w:rsidR="000D606F" w:rsidRPr="00107B76">
        <w:rPr>
          <w:lang w:val="en-GB"/>
        </w:rPr>
        <w:t>urchase of land and real estate;</w:t>
      </w:r>
    </w:p>
    <w:p w14:paraId="35CA69D4" w14:textId="77777777" w:rsidR="002F62BB" w:rsidRPr="00107B76" w:rsidRDefault="00F6056A" w:rsidP="00AD73C5">
      <w:pPr>
        <w:pStyle w:val="ListParagraph"/>
        <w:numPr>
          <w:ilvl w:val="1"/>
          <w:numId w:val="3"/>
        </w:numPr>
        <w:ind w:left="0" w:firstLine="709"/>
        <w:contextualSpacing w:val="0"/>
        <w:jc w:val="both"/>
        <w:rPr>
          <w:lang w:val="en-GB"/>
        </w:rPr>
      </w:pPr>
      <w:r w:rsidRPr="00107B76">
        <w:rPr>
          <w:lang w:val="en-GB"/>
        </w:rPr>
        <w:t>interest on debt, debt service charges and late payment charges</w:t>
      </w:r>
      <w:r w:rsidR="002F62BB" w:rsidRPr="00107B76">
        <w:rPr>
          <w:lang w:val="en-GB"/>
        </w:rPr>
        <w:t>;</w:t>
      </w:r>
    </w:p>
    <w:p w14:paraId="2C0E005D" w14:textId="77777777" w:rsidR="00211FF3" w:rsidRPr="00107B76" w:rsidRDefault="00904C23" w:rsidP="00AD73C5">
      <w:pPr>
        <w:pStyle w:val="ListParagraph"/>
        <w:numPr>
          <w:ilvl w:val="1"/>
          <w:numId w:val="3"/>
        </w:numPr>
        <w:ind w:left="0" w:firstLine="709"/>
        <w:contextualSpacing w:val="0"/>
        <w:jc w:val="both"/>
        <w:rPr>
          <w:lang w:val="en-GB"/>
        </w:rPr>
      </w:pPr>
      <w:r w:rsidRPr="00107B76">
        <w:rPr>
          <w:lang w:val="en-GB"/>
        </w:rPr>
        <w:t>charges for financial transactions and other purely financial costs, except costs related to accounts and financial services imposed by the Project Contract;</w:t>
      </w:r>
    </w:p>
    <w:p w14:paraId="1FAF9340" w14:textId="5E6D8ED9" w:rsidR="00211FF3" w:rsidRPr="00107B76" w:rsidRDefault="00211FF3" w:rsidP="00AD73C5">
      <w:pPr>
        <w:pStyle w:val="ListParagraph"/>
        <w:numPr>
          <w:ilvl w:val="1"/>
          <w:numId w:val="3"/>
        </w:numPr>
        <w:ind w:left="0" w:firstLine="709"/>
        <w:contextualSpacing w:val="0"/>
        <w:jc w:val="both"/>
        <w:rPr>
          <w:lang w:val="en-GB"/>
        </w:rPr>
      </w:pPr>
      <w:r w:rsidRPr="00107B76">
        <w:rPr>
          <w:lang w:val="en-GB"/>
        </w:rPr>
        <w:t>provisions for losses or potential future liabilities;</w:t>
      </w:r>
    </w:p>
    <w:p w14:paraId="464D80B0" w14:textId="05666634" w:rsidR="00A402F9" w:rsidRPr="00107B76" w:rsidRDefault="00060629" w:rsidP="00AD73C5">
      <w:pPr>
        <w:widowControl w:val="0"/>
        <w:numPr>
          <w:ilvl w:val="1"/>
          <w:numId w:val="3"/>
        </w:numPr>
        <w:kinsoku w:val="0"/>
        <w:ind w:left="0" w:firstLine="709"/>
        <w:jc w:val="both"/>
        <w:rPr>
          <w:lang w:val="en-GB"/>
        </w:rPr>
      </w:pPr>
      <w:r w:rsidRPr="00107B76">
        <w:rPr>
          <w:lang w:val="en-GB"/>
        </w:rPr>
        <w:t>exchange losses;</w:t>
      </w:r>
    </w:p>
    <w:p w14:paraId="633E1E62" w14:textId="587F1EED" w:rsidR="00597B7D" w:rsidRPr="00107B76" w:rsidRDefault="00B42B88" w:rsidP="00AD73C5">
      <w:pPr>
        <w:widowControl w:val="0"/>
        <w:numPr>
          <w:ilvl w:val="1"/>
          <w:numId w:val="3"/>
        </w:numPr>
        <w:kinsoku w:val="0"/>
        <w:ind w:left="0" w:firstLine="709"/>
        <w:jc w:val="both"/>
        <w:rPr>
          <w:lang w:val="en-GB"/>
        </w:rPr>
      </w:pPr>
      <w:r w:rsidRPr="00107B76">
        <w:rPr>
          <w:lang w:val="en-GB"/>
        </w:rPr>
        <w:t>recoverable</w:t>
      </w:r>
      <w:r w:rsidR="0002641E" w:rsidRPr="00107B76">
        <w:rPr>
          <w:lang w:val="en-GB"/>
        </w:rPr>
        <w:t xml:space="preserve"> </w:t>
      </w:r>
      <w:r w:rsidR="00914CAC" w:rsidRPr="00107B76">
        <w:rPr>
          <w:lang w:val="en-GB"/>
        </w:rPr>
        <w:t>value added taxes</w:t>
      </w:r>
      <w:r w:rsidR="00C655E5" w:rsidRPr="00107B76">
        <w:rPr>
          <w:lang w:val="en-GB"/>
        </w:rPr>
        <w:t xml:space="preserve"> (hereafter</w:t>
      </w:r>
      <w:r w:rsidR="00765ADB" w:rsidRPr="00107B76">
        <w:rPr>
          <w:lang w:val="en-GB"/>
        </w:rPr>
        <w:t xml:space="preserve"> referred to as</w:t>
      </w:r>
      <w:r w:rsidR="00C655E5" w:rsidRPr="00107B76">
        <w:rPr>
          <w:lang w:val="en-GB"/>
        </w:rPr>
        <w:t xml:space="preserve"> VAT)</w:t>
      </w:r>
      <w:r w:rsidR="00997A9C" w:rsidRPr="00107B76">
        <w:rPr>
          <w:lang w:val="en-GB"/>
        </w:rPr>
        <w:t>;</w:t>
      </w:r>
    </w:p>
    <w:p w14:paraId="68F72F19" w14:textId="181A0BE9" w:rsidR="008854A3" w:rsidRPr="00107B76" w:rsidRDefault="00E208AA" w:rsidP="00AD73C5">
      <w:pPr>
        <w:widowControl w:val="0"/>
        <w:numPr>
          <w:ilvl w:val="1"/>
          <w:numId w:val="3"/>
        </w:numPr>
        <w:kinsoku w:val="0"/>
        <w:ind w:left="0" w:firstLine="709"/>
        <w:jc w:val="both"/>
        <w:rPr>
          <w:lang w:val="en-GB"/>
        </w:rPr>
      </w:pPr>
      <w:r w:rsidRPr="00107B76">
        <w:rPr>
          <w:lang w:val="en-GB"/>
        </w:rPr>
        <w:t xml:space="preserve">costs that are covered </w:t>
      </w:r>
      <w:r w:rsidR="00AD2D52" w:rsidRPr="00107B76">
        <w:rPr>
          <w:lang w:val="en-GB"/>
        </w:rPr>
        <w:t>by other sources;</w:t>
      </w:r>
    </w:p>
    <w:p w14:paraId="2CB46331" w14:textId="77777777" w:rsidR="00C415C4" w:rsidRPr="00107B76" w:rsidRDefault="003C4838" w:rsidP="00AD73C5">
      <w:pPr>
        <w:widowControl w:val="0"/>
        <w:numPr>
          <w:ilvl w:val="1"/>
          <w:numId w:val="3"/>
        </w:numPr>
        <w:kinsoku w:val="0"/>
        <w:ind w:left="0" w:firstLine="709"/>
        <w:jc w:val="both"/>
        <w:rPr>
          <w:lang w:val="en-GB"/>
        </w:rPr>
      </w:pPr>
      <w:r w:rsidRPr="00107B76">
        <w:rPr>
          <w:lang w:val="en-GB"/>
        </w:rPr>
        <w:t>fines, penalties and costs of litigation, except where litigation is an integral and necessary component for achieving the outcomes of the project;</w:t>
      </w:r>
    </w:p>
    <w:p w14:paraId="4EADC6D5" w14:textId="0A4ECF65" w:rsidR="00CE0F7B" w:rsidRPr="00107B76" w:rsidRDefault="00C415C4" w:rsidP="00CE0F7B">
      <w:pPr>
        <w:widowControl w:val="0"/>
        <w:numPr>
          <w:ilvl w:val="1"/>
          <w:numId w:val="3"/>
        </w:numPr>
        <w:kinsoku w:val="0"/>
        <w:ind w:left="0" w:firstLine="709"/>
        <w:jc w:val="both"/>
        <w:rPr>
          <w:lang w:val="en-GB"/>
        </w:rPr>
      </w:pPr>
      <w:r w:rsidRPr="00107B76">
        <w:rPr>
          <w:lang w:val="en-GB"/>
        </w:rPr>
        <w:t xml:space="preserve">excessive or reckless expenditure, </w:t>
      </w:r>
      <w:r w:rsidR="00CF6908" w:rsidRPr="00107B76">
        <w:rPr>
          <w:lang w:val="en-GB"/>
        </w:rPr>
        <w:t xml:space="preserve">for example, </w:t>
      </w:r>
      <w:r w:rsidR="004E63F1" w:rsidRPr="00107B76">
        <w:rPr>
          <w:lang w:val="en-GB"/>
        </w:rPr>
        <w:t xml:space="preserve">disproportionate to the goal </w:t>
      </w:r>
      <w:r w:rsidR="00604060" w:rsidRPr="00107B76">
        <w:rPr>
          <w:lang w:val="en-GB"/>
        </w:rPr>
        <w:t>a</w:t>
      </w:r>
      <w:r w:rsidR="004E63F1" w:rsidRPr="00107B76">
        <w:rPr>
          <w:lang w:val="en-GB"/>
        </w:rPr>
        <w:t xml:space="preserve"> project aims to achieve. </w:t>
      </w:r>
    </w:p>
    <w:p w14:paraId="3170828B" w14:textId="77777777" w:rsidR="00C415C4" w:rsidRPr="00107B76" w:rsidRDefault="00C415C4" w:rsidP="00CC4B41">
      <w:pPr>
        <w:rPr>
          <w:lang w:val="en-GB"/>
        </w:rPr>
      </w:pPr>
    </w:p>
    <w:p w14:paraId="302A79C7" w14:textId="205528BB" w:rsidR="000E299F" w:rsidRPr="00107B76" w:rsidRDefault="00577F7E" w:rsidP="004C0A76">
      <w:pPr>
        <w:jc w:val="center"/>
        <w:rPr>
          <w:color w:val="000000"/>
          <w:lang w:val="en-GB"/>
        </w:rPr>
      </w:pPr>
      <w:r w:rsidRPr="00107B76">
        <w:rPr>
          <w:b/>
          <w:bCs/>
          <w:color w:val="000000"/>
          <w:lang w:val="en-GB"/>
        </w:rPr>
        <w:t>CHAPTER 5</w:t>
      </w:r>
    </w:p>
    <w:p w14:paraId="688E88A1" w14:textId="6BD37710" w:rsidR="000E299F" w:rsidRPr="00107B76" w:rsidRDefault="00577F7E" w:rsidP="004C0A76">
      <w:pPr>
        <w:jc w:val="center"/>
        <w:rPr>
          <w:color w:val="000000"/>
          <w:lang w:val="en-GB"/>
        </w:rPr>
      </w:pPr>
      <w:r w:rsidRPr="00107B76">
        <w:rPr>
          <w:b/>
          <w:bCs/>
          <w:color w:val="000000"/>
          <w:lang w:val="en-GB"/>
        </w:rPr>
        <w:t>SELECTION OF PROJECTS</w:t>
      </w:r>
    </w:p>
    <w:p w14:paraId="5141F035" w14:textId="77777777" w:rsidR="000E299F" w:rsidRPr="00107B76" w:rsidRDefault="000E299F" w:rsidP="004C0A76">
      <w:pPr>
        <w:jc w:val="center"/>
        <w:rPr>
          <w:b/>
          <w:lang w:val="en-GB"/>
        </w:rPr>
      </w:pPr>
    </w:p>
    <w:p w14:paraId="726AA8A6" w14:textId="2697B248" w:rsidR="00287E39" w:rsidRPr="00107B76" w:rsidRDefault="00F609AA">
      <w:pPr>
        <w:pStyle w:val="ListParagraph"/>
        <w:numPr>
          <w:ilvl w:val="0"/>
          <w:numId w:val="3"/>
        </w:numPr>
        <w:ind w:left="0" w:firstLine="709"/>
        <w:contextualSpacing w:val="0"/>
        <w:jc w:val="both"/>
        <w:rPr>
          <w:lang w:val="en-GB"/>
        </w:rPr>
      </w:pPr>
      <w:r w:rsidRPr="00107B76">
        <w:rPr>
          <w:lang w:val="en-GB"/>
        </w:rPr>
        <w:t>Project Se</w:t>
      </w:r>
      <w:r w:rsidR="003136AD" w:rsidRPr="00107B76">
        <w:rPr>
          <w:lang w:val="en-GB"/>
        </w:rPr>
        <w:t xml:space="preserve">lection is carried out by MITA </w:t>
      </w:r>
      <w:r w:rsidR="0054544E" w:rsidRPr="00107B76">
        <w:rPr>
          <w:lang w:val="en-GB"/>
        </w:rPr>
        <w:t xml:space="preserve">following </w:t>
      </w:r>
      <w:r w:rsidR="00D1448D" w:rsidRPr="00107B76">
        <w:rPr>
          <w:lang w:val="en-GB"/>
        </w:rPr>
        <w:t xml:space="preserve">the </w:t>
      </w:r>
      <w:r w:rsidR="00C62FD8" w:rsidRPr="00107B76">
        <w:rPr>
          <w:lang w:val="en-GB"/>
        </w:rPr>
        <w:t>provisions of</w:t>
      </w:r>
      <w:r w:rsidR="00305C0F" w:rsidRPr="00107B76">
        <w:rPr>
          <w:lang w:val="en-GB"/>
        </w:rPr>
        <w:t xml:space="preserve"> Chapter XVII of </w:t>
      </w:r>
      <w:r w:rsidR="00832A56" w:rsidRPr="00107B76">
        <w:rPr>
          <w:lang w:val="en-GB"/>
        </w:rPr>
        <w:t>the National Rules</w:t>
      </w:r>
      <w:r w:rsidR="00305C0F" w:rsidRPr="00107B76">
        <w:rPr>
          <w:lang w:val="en-GB"/>
        </w:rPr>
        <w:t>.</w:t>
      </w:r>
      <w:r w:rsidR="00287E39" w:rsidRPr="00107B76">
        <w:rPr>
          <w:lang w:val="en-GB"/>
        </w:rPr>
        <w:t xml:space="preserve"> </w:t>
      </w:r>
    </w:p>
    <w:p w14:paraId="12A612EB" w14:textId="3AF2DBA5" w:rsidR="00AB0152" w:rsidRPr="0077455E" w:rsidRDefault="00287E39">
      <w:pPr>
        <w:pStyle w:val="ListParagraph"/>
        <w:numPr>
          <w:ilvl w:val="0"/>
          <w:numId w:val="3"/>
        </w:numPr>
        <w:ind w:left="0" w:firstLine="709"/>
        <w:contextualSpacing w:val="0"/>
        <w:jc w:val="both"/>
        <w:rPr>
          <w:rFonts w:eastAsia="Calibri"/>
          <w:lang w:val="en-GB"/>
        </w:rPr>
      </w:pPr>
      <w:r w:rsidRPr="00107B76">
        <w:rPr>
          <w:lang w:val="en-GB"/>
        </w:rPr>
        <w:t xml:space="preserve">The Call announcement </w:t>
      </w:r>
      <w:r w:rsidR="00CE0F7B" w:rsidRPr="00107B76">
        <w:rPr>
          <w:lang w:val="en-GB"/>
        </w:rPr>
        <w:t xml:space="preserve">is </w:t>
      </w:r>
      <w:r w:rsidRPr="00107B76">
        <w:rPr>
          <w:lang w:val="en-GB"/>
        </w:rPr>
        <w:t xml:space="preserve">be posted on a EEA and Norway Grants webpage </w:t>
      </w:r>
      <w:hyperlink r:id="rId14" w:history="1">
        <w:r w:rsidR="00E17F71" w:rsidRPr="0077455E">
          <w:rPr>
            <w:rStyle w:val="Hyperlink"/>
            <w:lang w:val="en-GB"/>
          </w:rPr>
          <w:t>www.norwaygrants.lt</w:t>
        </w:r>
      </w:hyperlink>
      <w:r w:rsidRPr="0077455E">
        <w:rPr>
          <w:lang w:val="en-GB"/>
        </w:rPr>
        <w:t xml:space="preserve"> and MITA webpage </w:t>
      </w:r>
      <w:hyperlink r:id="rId15" w:history="1">
        <w:r w:rsidRPr="0077455E">
          <w:rPr>
            <w:rStyle w:val="Hyperlink"/>
            <w:lang w:val="en-GB"/>
          </w:rPr>
          <w:t>www.lrv.mita.lt</w:t>
        </w:r>
      </w:hyperlink>
      <w:r w:rsidRPr="0077455E">
        <w:rPr>
          <w:lang w:val="en-GB"/>
        </w:rPr>
        <w:t xml:space="preserve">.  </w:t>
      </w:r>
    </w:p>
    <w:p w14:paraId="09AB268D" w14:textId="05F2936B" w:rsidR="00FD4FC5" w:rsidRPr="0077455E" w:rsidRDefault="00AB0152">
      <w:pPr>
        <w:pStyle w:val="ListParagraph"/>
        <w:numPr>
          <w:ilvl w:val="0"/>
          <w:numId w:val="3"/>
        </w:numPr>
        <w:ind w:left="0" w:firstLine="709"/>
        <w:contextualSpacing w:val="0"/>
        <w:jc w:val="both"/>
        <w:rPr>
          <w:rFonts w:eastAsia="Calibri"/>
          <w:lang w:val="en-GB"/>
        </w:rPr>
      </w:pPr>
      <w:r w:rsidRPr="0077455E">
        <w:rPr>
          <w:lang w:val="en-GB"/>
        </w:rPr>
        <w:t>An application shall be</w:t>
      </w:r>
      <w:r w:rsidR="00164B68" w:rsidRPr="0077455E">
        <w:rPr>
          <w:lang w:val="en-GB"/>
        </w:rPr>
        <w:t xml:space="preserve"> filled in online and together with other </w:t>
      </w:r>
      <w:r w:rsidR="00AD2248" w:rsidRPr="0077455E">
        <w:rPr>
          <w:lang w:val="en-GB"/>
        </w:rPr>
        <w:t>supplementary documents</w:t>
      </w:r>
      <w:r w:rsidR="00164B68" w:rsidRPr="0077455E">
        <w:rPr>
          <w:lang w:val="en-GB"/>
        </w:rPr>
        <w:t xml:space="preserve"> </w:t>
      </w:r>
      <w:r w:rsidRPr="0077455E">
        <w:rPr>
          <w:lang w:val="en-GB"/>
        </w:rPr>
        <w:t xml:space="preserve">submitted </w:t>
      </w:r>
      <w:r w:rsidR="00FD4FC5" w:rsidRPr="0077455E">
        <w:rPr>
          <w:lang w:val="en-GB"/>
        </w:rPr>
        <w:t>before the deadline specified in the Call announcement:</w:t>
      </w:r>
    </w:p>
    <w:p w14:paraId="4B5C0BE4" w14:textId="6C58AAEC" w:rsidR="0061136D" w:rsidRPr="0077455E" w:rsidRDefault="00FD4FC5" w:rsidP="00FD4FC5">
      <w:pPr>
        <w:pStyle w:val="ListParagraph"/>
        <w:numPr>
          <w:ilvl w:val="1"/>
          <w:numId w:val="3"/>
        </w:numPr>
        <w:ind w:left="0" w:firstLine="709"/>
        <w:contextualSpacing w:val="0"/>
        <w:jc w:val="both"/>
        <w:rPr>
          <w:rFonts w:eastAsia="Calibri"/>
          <w:lang w:val="en-GB"/>
        </w:rPr>
      </w:pPr>
      <w:r w:rsidRPr="0077455E">
        <w:rPr>
          <w:lang w:val="en-GB"/>
        </w:rPr>
        <w:t xml:space="preserve">If an applicant is a private entity registered in Lithuania - </w:t>
      </w:r>
      <w:r w:rsidR="00AB0152" w:rsidRPr="0077455E">
        <w:rPr>
          <w:lang w:val="en-GB"/>
        </w:rPr>
        <w:t>via an electronic data exchange portal for 2014-2021 European Economic Area and Norwegian Financial Mechanisms (hereafter referred as “DMS”)</w:t>
      </w:r>
      <w:r w:rsidR="00C77DC9" w:rsidRPr="0077455E">
        <w:rPr>
          <w:lang w:val="en-GB"/>
        </w:rPr>
        <w:t>.</w:t>
      </w:r>
      <w:r w:rsidR="00CE0F7B" w:rsidRPr="0077455E">
        <w:rPr>
          <w:rFonts w:eastAsia="Calibri"/>
          <w:lang w:val="en-GB"/>
        </w:rPr>
        <w:t xml:space="preserve"> An application submitted not by DMS, will not be accepted and will be returned to an Applicant.</w:t>
      </w:r>
    </w:p>
    <w:p w14:paraId="7B7EB29D" w14:textId="2C0AD064" w:rsidR="00FD4FC5" w:rsidRPr="0077455E" w:rsidRDefault="00FD4FC5" w:rsidP="00FD4FC5">
      <w:pPr>
        <w:pStyle w:val="ListParagraph"/>
        <w:numPr>
          <w:ilvl w:val="1"/>
          <w:numId w:val="3"/>
        </w:numPr>
        <w:ind w:left="0" w:firstLine="709"/>
        <w:contextualSpacing w:val="0"/>
        <w:jc w:val="both"/>
        <w:rPr>
          <w:rFonts w:eastAsia="Calibri"/>
          <w:lang w:val="en-GB"/>
        </w:rPr>
      </w:pPr>
      <w:r w:rsidRPr="0077455E">
        <w:rPr>
          <w:lang w:val="en-GB"/>
        </w:rPr>
        <w:t xml:space="preserve">If an applicant is a private entity registered </w:t>
      </w:r>
      <w:r w:rsidR="00976FE2" w:rsidRPr="0077455E">
        <w:rPr>
          <w:lang w:val="en-GB"/>
        </w:rPr>
        <w:t xml:space="preserve">in one </w:t>
      </w:r>
      <w:r w:rsidR="0077455E" w:rsidRPr="0077455E">
        <w:rPr>
          <w:lang w:val="en-GB"/>
        </w:rPr>
        <w:t xml:space="preserve">of the EU Member states or EEA EFTA, </w:t>
      </w:r>
      <w:r w:rsidR="00976FE2" w:rsidRPr="0077455E">
        <w:rPr>
          <w:lang w:val="en-GB"/>
        </w:rPr>
        <w:t xml:space="preserve">via </w:t>
      </w:r>
      <w:r w:rsidR="00217B36" w:rsidRPr="0077455E">
        <w:rPr>
          <w:lang w:val="en-GB"/>
        </w:rPr>
        <w:t xml:space="preserve">electronic </w:t>
      </w:r>
      <w:r w:rsidR="002F179E" w:rsidRPr="0077455E">
        <w:rPr>
          <w:lang w:val="en-GB"/>
        </w:rPr>
        <w:t>system</w:t>
      </w:r>
      <w:r w:rsidR="00AE4C01" w:rsidRPr="0077455E">
        <w:rPr>
          <w:lang w:val="en-GB"/>
        </w:rPr>
        <w:t xml:space="preserve"> </w:t>
      </w:r>
      <w:r w:rsidR="00B650F8" w:rsidRPr="0077455E">
        <w:rPr>
          <w:lang w:val="en-GB"/>
        </w:rPr>
        <w:t>administered</w:t>
      </w:r>
      <w:r w:rsidR="00AE4C01" w:rsidRPr="0077455E">
        <w:rPr>
          <w:lang w:val="en-GB"/>
        </w:rPr>
        <w:t xml:space="preserve"> by MITA</w:t>
      </w:r>
      <w:r w:rsidR="00976FE2" w:rsidRPr="0077455E">
        <w:rPr>
          <w:lang w:val="en-GB"/>
        </w:rPr>
        <w:t xml:space="preserve"> </w:t>
      </w:r>
      <w:r w:rsidR="00CC34B1" w:rsidRPr="0077455E">
        <w:rPr>
          <w:lang w:val="en-GB"/>
        </w:rPr>
        <w:t>(</w:t>
      </w:r>
      <w:r w:rsidR="004C7693" w:rsidRPr="0077455E">
        <w:rPr>
          <w:lang w:val="en-GB"/>
        </w:rPr>
        <w:t xml:space="preserve">a link </w:t>
      </w:r>
      <w:r w:rsidR="00CC34B1" w:rsidRPr="0077455E">
        <w:rPr>
          <w:lang w:val="en-GB"/>
        </w:rPr>
        <w:t xml:space="preserve">is </w:t>
      </w:r>
      <w:r w:rsidR="000F2FB6" w:rsidRPr="0077455E">
        <w:rPr>
          <w:lang w:val="en-GB"/>
        </w:rPr>
        <w:t>posted</w:t>
      </w:r>
      <w:r w:rsidR="00976FE2" w:rsidRPr="0077455E">
        <w:rPr>
          <w:lang w:val="en-GB"/>
        </w:rPr>
        <w:t xml:space="preserve"> </w:t>
      </w:r>
      <w:r w:rsidR="000F2FB6" w:rsidRPr="0077455E">
        <w:rPr>
          <w:lang w:val="en-GB"/>
        </w:rPr>
        <w:t>with</w:t>
      </w:r>
      <w:r w:rsidR="00976FE2" w:rsidRPr="0077455E">
        <w:rPr>
          <w:lang w:val="en-GB"/>
        </w:rPr>
        <w:t xml:space="preserve"> the Call announcement</w:t>
      </w:r>
      <w:r w:rsidR="00CC34B1" w:rsidRPr="0077455E">
        <w:rPr>
          <w:lang w:val="en-GB"/>
        </w:rPr>
        <w:t>)</w:t>
      </w:r>
      <w:r w:rsidR="00976FE2" w:rsidRPr="0077455E">
        <w:rPr>
          <w:lang w:val="en-GB"/>
        </w:rPr>
        <w:t>.</w:t>
      </w:r>
    </w:p>
    <w:p w14:paraId="4C0553F9" w14:textId="1A896F70" w:rsidR="0061136D" w:rsidRPr="0077455E" w:rsidRDefault="00E71383">
      <w:pPr>
        <w:pStyle w:val="ListParagraph"/>
        <w:numPr>
          <w:ilvl w:val="0"/>
          <w:numId w:val="3"/>
        </w:numPr>
        <w:ind w:left="0" w:firstLine="709"/>
        <w:contextualSpacing w:val="0"/>
        <w:jc w:val="both"/>
        <w:rPr>
          <w:rFonts w:eastAsia="Calibri"/>
          <w:lang w:val="en-GB"/>
        </w:rPr>
      </w:pPr>
      <w:r w:rsidRPr="0077455E">
        <w:rPr>
          <w:lang w:val="en-GB"/>
        </w:rPr>
        <w:t xml:space="preserve">If DMS </w:t>
      </w:r>
      <w:r w:rsidR="004C7693" w:rsidRPr="0077455E">
        <w:rPr>
          <w:lang w:val="en-GB"/>
        </w:rPr>
        <w:t xml:space="preserve">or </w:t>
      </w:r>
      <w:r w:rsidR="002F179E" w:rsidRPr="0077455E">
        <w:rPr>
          <w:lang w:val="en-GB"/>
        </w:rPr>
        <w:t xml:space="preserve">the </w:t>
      </w:r>
      <w:r w:rsidR="00217B36" w:rsidRPr="0077455E">
        <w:rPr>
          <w:lang w:val="en-GB"/>
        </w:rPr>
        <w:t>electronic system</w:t>
      </w:r>
      <w:r w:rsidR="003B6B44" w:rsidRPr="0077455E">
        <w:rPr>
          <w:lang w:val="en-GB"/>
        </w:rPr>
        <w:t xml:space="preserve"> </w:t>
      </w:r>
      <w:r w:rsidR="00B650F8" w:rsidRPr="0077455E">
        <w:rPr>
          <w:lang w:val="en-GB"/>
        </w:rPr>
        <w:t>administered</w:t>
      </w:r>
      <w:r w:rsidR="003B6B44" w:rsidRPr="0077455E">
        <w:rPr>
          <w:lang w:val="en-GB"/>
        </w:rPr>
        <w:t xml:space="preserve"> by MITA</w:t>
      </w:r>
      <w:r w:rsidR="004C7693" w:rsidRPr="0077455E">
        <w:rPr>
          <w:lang w:val="en-GB"/>
        </w:rPr>
        <w:t xml:space="preserve"> </w:t>
      </w:r>
      <w:r w:rsidR="006D5374" w:rsidRPr="0077455E">
        <w:rPr>
          <w:lang w:val="en-GB"/>
        </w:rPr>
        <w:t>do</w:t>
      </w:r>
      <w:r w:rsidR="009276E8" w:rsidRPr="0077455E">
        <w:rPr>
          <w:lang w:val="en-GB"/>
        </w:rPr>
        <w:t xml:space="preserve"> not function and an Applicant cannot submit an application or its annexes by the deadline</w:t>
      </w:r>
      <w:r w:rsidRPr="0077455E">
        <w:rPr>
          <w:lang w:val="en-GB"/>
        </w:rPr>
        <w:t xml:space="preserve">, MITA will extend the deadline for submission of applications by 7 days and (or) provide a possibility to submit </w:t>
      </w:r>
      <w:r w:rsidR="009276E8" w:rsidRPr="0077455E">
        <w:rPr>
          <w:lang w:val="en-GB"/>
        </w:rPr>
        <w:t xml:space="preserve">the documents </w:t>
      </w:r>
      <w:r w:rsidR="0062185F" w:rsidRPr="0077455E">
        <w:rPr>
          <w:lang w:val="en-GB"/>
        </w:rPr>
        <w:t>by</w:t>
      </w:r>
      <w:r w:rsidR="00CE0F7B" w:rsidRPr="0077455E">
        <w:rPr>
          <w:lang w:val="en-GB"/>
        </w:rPr>
        <w:t xml:space="preserve"> </w:t>
      </w:r>
      <w:r w:rsidR="009276E8" w:rsidRPr="0077455E">
        <w:rPr>
          <w:lang w:val="en-GB"/>
        </w:rPr>
        <w:t xml:space="preserve">post </w:t>
      </w:r>
      <w:r w:rsidR="00CE0F7B" w:rsidRPr="0077455E">
        <w:rPr>
          <w:lang w:val="en-GB"/>
        </w:rPr>
        <w:t>or other means</w:t>
      </w:r>
      <w:r w:rsidRPr="0077455E">
        <w:rPr>
          <w:lang w:val="en-GB"/>
        </w:rPr>
        <w:t xml:space="preserve">. </w:t>
      </w:r>
    </w:p>
    <w:p w14:paraId="783F5695" w14:textId="4797E230" w:rsidR="0061136D" w:rsidRPr="00107B76" w:rsidRDefault="00BD5860" w:rsidP="00B15974">
      <w:pPr>
        <w:pStyle w:val="ListParagraph"/>
        <w:numPr>
          <w:ilvl w:val="0"/>
          <w:numId w:val="3"/>
        </w:numPr>
        <w:tabs>
          <w:tab w:val="left" w:pos="1134"/>
        </w:tabs>
        <w:ind w:left="0" w:firstLine="709"/>
        <w:contextualSpacing w:val="0"/>
        <w:jc w:val="both"/>
        <w:rPr>
          <w:rFonts w:eastAsia="Calibri"/>
          <w:lang w:val="en-GB"/>
        </w:rPr>
      </w:pPr>
      <w:r w:rsidRPr="00107B76">
        <w:rPr>
          <w:rFonts w:eastAsia="Calibri"/>
          <w:lang w:val="en-GB"/>
        </w:rPr>
        <w:t>Tog</w:t>
      </w:r>
      <w:r w:rsidR="00E745E2" w:rsidRPr="00107B76">
        <w:rPr>
          <w:rFonts w:eastAsia="Calibri"/>
          <w:lang w:val="en-GB"/>
        </w:rPr>
        <w:t>e</w:t>
      </w:r>
      <w:r w:rsidRPr="00107B76">
        <w:rPr>
          <w:rFonts w:eastAsia="Calibri"/>
          <w:lang w:val="en-GB"/>
        </w:rPr>
        <w:t>ther with an application the following documents shall be submitte</w:t>
      </w:r>
      <w:r w:rsidR="00E745E2" w:rsidRPr="00107B76">
        <w:rPr>
          <w:rFonts w:eastAsia="Calibri"/>
          <w:lang w:val="en-GB"/>
        </w:rPr>
        <w:t>d:</w:t>
      </w:r>
    </w:p>
    <w:p w14:paraId="35A63D58" w14:textId="77777777"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bookmarkStart w:id="8" w:name="part_b89d515969ea495e90d85312e1f06b19"/>
      <w:bookmarkEnd w:id="8"/>
      <w:r w:rsidRPr="00107B76">
        <w:rPr>
          <w:color w:val="000000"/>
          <w:lang w:val="en-GB"/>
        </w:rPr>
        <w:lastRenderedPageBreak/>
        <w:t>a business plan;</w:t>
      </w:r>
    </w:p>
    <w:p w14:paraId="458C2938" w14:textId="77777777"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107B76">
        <w:rPr>
          <w:color w:val="000000"/>
          <w:lang w:val="en-GB"/>
        </w:rPr>
        <w:t xml:space="preserve">a detailed activity budget of an Applicant and a partner, if a project is implemented together with a partner (-s); </w:t>
      </w:r>
    </w:p>
    <w:p w14:paraId="2D16116D" w14:textId="77777777"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107B76">
        <w:rPr>
          <w:color w:val="000000"/>
          <w:lang w:val="en-GB"/>
        </w:rPr>
        <w:t>documents supporting validity of a project budget (for example, commercial offers, links to market prices, etc.);</w:t>
      </w:r>
    </w:p>
    <w:p w14:paraId="42A75265" w14:textId="77777777"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107B76">
        <w:rPr>
          <w:color w:val="000000"/>
          <w:lang w:val="en-GB"/>
        </w:rPr>
        <w:t>documents supporting capacity of an Applicant and a partner to cover their financial contribution to a project and ineligible expenses (e. g. statement from a bank or credit institution, legal entity, shareholders, on their intention to provide a loan for a project, loan agreement or similar document);</w:t>
      </w:r>
    </w:p>
    <w:p w14:paraId="200EE8F8" w14:textId="6B56323A"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107B76">
        <w:rPr>
          <w:color w:val="000000"/>
          <w:lang w:val="en-GB"/>
        </w:rPr>
        <w:t>a Draft Partnership Agreement, if a project is implemented together with a partner;</w:t>
      </w:r>
    </w:p>
    <w:p w14:paraId="770C3F44" w14:textId="6A6D1B34" w:rsidR="00572B31" w:rsidRPr="00107B76" w:rsidRDefault="00572B31"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107B76">
        <w:rPr>
          <w:color w:val="000000"/>
          <w:lang w:val="en-GB"/>
        </w:rPr>
        <w:t>an Applicant certifies conformity with the requirement stated in State Aid Regulation paragraph 16 of Article 14 (if the activity specified in subparagraph 13.3 of the Call is to be implemented), prepared in a free format declaration</w:t>
      </w:r>
      <w:r w:rsidR="00040D12">
        <w:rPr>
          <w:color w:val="000000"/>
          <w:lang w:val="en-GB"/>
        </w:rPr>
        <w:t>;</w:t>
      </w:r>
    </w:p>
    <w:p w14:paraId="596E15D5" w14:textId="46CCD9BF" w:rsidR="00F46A55" w:rsidRDefault="00572B31" w:rsidP="00B15974">
      <w:pPr>
        <w:pStyle w:val="ListParagraph"/>
        <w:numPr>
          <w:ilvl w:val="1"/>
          <w:numId w:val="3"/>
        </w:numPr>
        <w:tabs>
          <w:tab w:val="left" w:pos="993"/>
          <w:tab w:val="left" w:pos="1134"/>
          <w:tab w:val="left" w:pos="1276"/>
          <w:tab w:val="left" w:pos="1418"/>
        </w:tabs>
        <w:ind w:left="0" w:firstLine="709"/>
        <w:contextualSpacing w:val="0"/>
        <w:jc w:val="both"/>
        <w:rPr>
          <w:color w:val="000000"/>
          <w:lang w:val="en-GB"/>
        </w:rPr>
      </w:pPr>
      <w:r w:rsidRPr="00107B76">
        <w:rPr>
          <w:color w:val="000000"/>
          <w:lang w:val="en-GB"/>
        </w:rPr>
        <w:t xml:space="preserve">information </w:t>
      </w:r>
      <w:r w:rsidR="00F46A55">
        <w:rPr>
          <w:color w:val="000000"/>
          <w:lang w:val="en-GB"/>
        </w:rPr>
        <w:t>required to assess the compliance of the project with the requirements of the call and the project criteria (Annex 4)</w:t>
      </w:r>
      <w:r w:rsidR="00040D12">
        <w:rPr>
          <w:color w:val="000000"/>
          <w:lang w:val="en-GB"/>
        </w:rPr>
        <w:t>;</w:t>
      </w:r>
      <w:r w:rsidR="00F46A55">
        <w:rPr>
          <w:color w:val="000000"/>
          <w:lang w:val="en-GB"/>
        </w:rPr>
        <w:t xml:space="preserve"> </w:t>
      </w:r>
    </w:p>
    <w:p w14:paraId="12AA8289" w14:textId="5D4FBFE9" w:rsidR="00572B31" w:rsidRPr="00107B76" w:rsidRDefault="00B15974" w:rsidP="004C1CDB">
      <w:pPr>
        <w:pStyle w:val="ListParagraph"/>
        <w:numPr>
          <w:ilvl w:val="1"/>
          <w:numId w:val="3"/>
        </w:numPr>
        <w:ind w:left="0" w:firstLine="709"/>
        <w:rPr>
          <w:color w:val="000000"/>
          <w:lang w:val="en-GB"/>
        </w:rPr>
      </w:pPr>
      <w:r w:rsidRPr="00107B76">
        <w:rPr>
          <w:color w:val="000000"/>
          <w:lang w:val="en-GB"/>
        </w:rPr>
        <w:t>communication plan</w:t>
      </w:r>
      <w:r w:rsidR="00040D12">
        <w:rPr>
          <w:color w:val="000000"/>
          <w:lang w:val="en-GB"/>
        </w:rPr>
        <w:t>;</w:t>
      </w:r>
    </w:p>
    <w:p w14:paraId="2F0B3143" w14:textId="7E36CD51" w:rsidR="00916536" w:rsidRPr="00D53383" w:rsidRDefault="004C1CDB"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D53383">
        <w:rPr>
          <w:color w:val="000000"/>
          <w:lang w:val="en-GB"/>
        </w:rPr>
        <w:t>a questionnaire on eligibility of VA</w:t>
      </w:r>
      <w:r w:rsidR="00C612FC" w:rsidRPr="00D53383">
        <w:rPr>
          <w:color w:val="000000"/>
          <w:lang w:val="en-GB"/>
        </w:rPr>
        <w:t xml:space="preserve">T, </w:t>
      </w:r>
      <w:r w:rsidRPr="00D53383">
        <w:rPr>
          <w:color w:val="000000"/>
          <w:lang w:val="en-GB"/>
        </w:rPr>
        <w:t xml:space="preserve">if an Applicant </w:t>
      </w:r>
      <w:r w:rsidR="00C612FC" w:rsidRPr="00D53383">
        <w:rPr>
          <w:color w:val="000000"/>
          <w:lang w:val="en-GB"/>
        </w:rPr>
        <w:t xml:space="preserve">who is registered in Lithuania </w:t>
      </w:r>
      <w:r w:rsidRPr="00D53383">
        <w:rPr>
          <w:color w:val="000000"/>
          <w:lang w:val="en-GB"/>
        </w:rPr>
        <w:t xml:space="preserve">asks for VAT to be recognized as eligible expenditure, </w:t>
      </w:r>
      <w:proofErr w:type="spellStart"/>
      <w:r w:rsidRPr="00D53383">
        <w:rPr>
          <w:color w:val="000000"/>
          <w:lang w:val="en-GB"/>
        </w:rPr>
        <w:t>i</w:t>
      </w:r>
      <w:proofErr w:type="spellEnd"/>
      <w:r w:rsidRPr="00D53383">
        <w:rPr>
          <w:color w:val="000000"/>
          <w:lang w:val="en-GB"/>
        </w:rPr>
        <w:t xml:space="preserve">. e. includes this expenditure into a project budget. </w:t>
      </w:r>
    </w:p>
    <w:p w14:paraId="42513836" w14:textId="77777777" w:rsidR="004C1CDB" w:rsidRPr="00D53383" w:rsidRDefault="00192A6C"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D53383">
        <w:rPr>
          <w:color w:val="000000"/>
          <w:lang w:val="en-GB"/>
        </w:rPr>
        <w:t xml:space="preserve"> D</w:t>
      </w:r>
      <w:r w:rsidR="00D80938" w:rsidRPr="00D53383">
        <w:rPr>
          <w:color w:val="000000"/>
          <w:lang w:val="en-GB"/>
        </w:rPr>
        <w:t xml:space="preserve">eclaration of a </w:t>
      </w:r>
      <w:r w:rsidR="00B245D7" w:rsidRPr="00D53383">
        <w:rPr>
          <w:color w:val="000000"/>
          <w:lang w:val="en-GB"/>
        </w:rPr>
        <w:t>L</w:t>
      </w:r>
      <w:r w:rsidR="00D80938" w:rsidRPr="00D53383">
        <w:rPr>
          <w:color w:val="000000"/>
          <w:lang w:val="en-GB"/>
        </w:rPr>
        <w:t xml:space="preserve">egal </w:t>
      </w:r>
      <w:r w:rsidR="00B245D7" w:rsidRPr="00D53383">
        <w:rPr>
          <w:color w:val="000000"/>
          <w:lang w:val="en-GB"/>
        </w:rPr>
        <w:t>S</w:t>
      </w:r>
      <w:r w:rsidR="00D80938" w:rsidRPr="00D53383">
        <w:rPr>
          <w:color w:val="000000"/>
          <w:lang w:val="en-GB"/>
        </w:rPr>
        <w:t>tatus of a</w:t>
      </w:r>
      <w:r w:rsidR="00B7709B" w:rsidRPr="00D53383">
        <w:rPr>
          <w:color w:val="000000"/>
          <w:lang w:val="en-GB"/>
        </w:rPr>
        <w:t xml:space="preserve"> </w:t>
      </w:r>
      <w:r w:rsidR="004736F0" w:rsidRPr="00D53383">
        <w:rPr>
          <w:color w:val="000000"/>
          <w:lang w:val="en-GB"/>
        </w:rPr>
        <w:t>SME</w:t>
      </w:r>
      <w:r w:rsidR="00BB0714" w:rsidRPr="00D53383">
        <w:rPr>
          <w:color w:val="000000"/>
          <w:lang w:val="en-GB"/>
        </w:rPr>
        <w:t>, filled in by an Applicant and a partner (if a project is implemented together with a partner)</w:t>
      </w:r>
      <w:r w:rsidR="004C1CDB" w:rsidRPr="00D53383">
        <w:rPr>
          <w:color w:val="000000"/>
          <w:lang w:val="en-GB"/>
        </w:rPr>
        <w:t>:</w:t>
      </w:r>
    </w:p>
    <w:p w14:paraId="235B734D" w14:textId="489C6097" w:rsidR="004C1CDB" w:rsidRPr="00D53383" w:rsidRDefault="004C1CDB" w:rsidP="004C1CDB">
      <w:pPr>
        <w:pStyle w:val="ListParagraph"/>
        <w:numPr>
          <w:ilvl w:val="2"/>
          <w:numId w:val="3"/>
        </w:numPr>
        <w:tabs>
          <w:tab w:val="left" w:pos="1134"/>
          <w:tab w:val="left" w:pos="1276"/>
          <w:tab w:val="left" w:pos="1418"/>
          <w:tab w:val="left" w:pos="1560"/>
        </w:tabs>
        <w:ind w:left="0" w:firstLine="709"/>
        <w:contextualSpacing w:val="0"/>
        <w:jc w:val="both"/>
        <w:rPr>
          <w:color w:val="000000"/>
          <w:lang w:val="en-GB"/>
        </w:rPr>
      </w:pPr>
      <w:r w:rsidRPr="00D53383">
        <w:rPr>
          <w:color w:val="000000"/>
          <w:lang w:val="en-GB"/>
        </w:rPr>
        <w:t xml:space="preserve">For Applicants and partners </w:t>
      </w:r>
      <w:r w:rsidR="00D53383" w:rsidRPr="00D53383">
        <w:rPr>
          <w:color w:val="000000"/>
          <w:lang w:val="en-GB"/>
        </w:rPr>
        <w:t>registered in Lithuania -</w:t>
      </w:r>
      <w:r w:rsidRPr="00D53383">
        <w:rPr>
          <w:color w:val="000000"/>
          <w:lang w:val="en-GB"/>
        </w:rPr>
        <w:t xml:space="preserve"> </w:t>
      </w:r>
      <w:r w:rsidR="00B00E68" w:rsidRPr="00D53383">
        <w:rPr>
          <w:color w:val="000000"/>
          <w:lang w:val="en-GB"/>
        </w:rPr>
        <w:t>the form</w:t>
      </w:r>
      <w:r w:rsidRPr="00D53383">
        <w:rPr>
          <w:color w:val="000000"/>
          <w:lang w:val="en-GB"/>
        </w:rPr>
        <w:t>,</w:t>
      </w:r>
      <w:r w:rsidR="00B00E68" w:rsidRPr="00D53383">
        <w:rPr>
          <w:color w:val="000000"/>
          <w:lang w:val="en-GB"/>
        </w:rPr>
        <w:t xml:space="preserve"> whi</w:t>
      </w:r>
      <w:r w:rsidR="007D303F" w:rsidRPr="00D53383">
        <w:rPr>
          <w:color w:val="000000"/>
          <w:lang w:val="en-GB"/>
        </w:rPr>
        <w:t xml:space="preserve">ch was approved by </w:t>
      </w:r>
      <w:r w:rsidR="00AA72C2" w:rsidRPr="00D53383">
        <w:rPr>
          <w:color w:val="000000"/>
          <w:lang w:val="en-GB"/>
        </w:rPr>
        <w:t>the</w:t>
      </w:r>
      <w:r w:rsidR="00041C0D" w:rsidRPr="00D53383">
        <w:rPr>
          <w:color w:val="000000"/>
          <w:lang w:val="en-GB"/>
        </w:rPr>
        <w:t xml:space="preserve"> Order</w:t>
      </w:r>
      <w:r w:rsidR="00AA72C2" w:rsidRPr="00D53383">
        <w:rPr>
          <w:color w:val="000000"/>
          <w:lang w:val="en-GB"/>
        </w:rPr>
        <w:t xml:space="preserve"> of the Minister of </w:t>
      </w:r>
      <w:r w:rsidR="00AE72A8" w:rsidRPr="00D53383">
        <w:rPr>
          <w:color w:val="000000"/>
          <w:lang w:val="en-GB"/>
        </w:rPr>
        <w:t>Economy</w:t>
      </w:r>
      <w:r w:rsidR="00041C0D" w:rsidRPr="00D53383">
        <w:rPr>
          <w:color w:val="000000"/>
          <w:lang w:val="en-GB"/>
        </w:rPr>
        <w:t xml:space="preserve"> </w:t>
      </w:r>
      <w:r w:rsidR="00323D59" w:rsidRPr="00D53383">
        <w:rPr>
          <w:color w:val="000000"/>
          <w:lang w:val="en-GB"/>
        </w:rPr>
        <w:t>„</w:t>
      </w:r>
      <w:r w:rsidR="004B000F" w:rsidRPr="00D53383">
        <w:rPr>
          <w:color w:val="000000"/>
          <w:lang w:val="en-GB"/>
        </w:rPr>
        <w:t xml:space="preserve">On </w:t>
      </w:r>
      <w:r w:rsidR="00DF7F49" w:rsidRPr="00D53383">
        <w:rPr>
          <w:color w:val="000000"/>
          <w:lang w:val="en-GB"/>
        </w:rPr>
        <w:t>A</w:t>
      </w:r>
      <w:r w:rsidR="002125C1" w:rsidRPr="00D53383">
        <w:rPr>
          <w:color w:val="000000"/>
          <w:lang w:val="en-GB"/>
        </w:rPr>
        <w:t xml:space="preserve">pproval of </w:t>
      </w:r>
      <w:r w:rsidR="005040F4" w:rsidRPr="00D53383">
        <w:rPr>
          <w:color w:val="000000"/>
          <w:lang w:val="en-GB"/>
        </w:rPr>
        <w:t>Procedures</w:t>
      </w:r>
      <w:r w:rsidR="00285013" w:rsidRPr="00D53383">
        <w:rPr>
          <w:color w:val="000000"/>
          <w:lang w:val="en-GB"/>
        </w:rPr>
        <w:t xml:space="preserve"> </w:t>
      </w:r>
      <w:r w:rsidR="00DF7F49" w:rsidRPr="00D53383">
        <w:rPr>
          <w:color w:val="000000"/>
          <w:lang w:val="en-GB"/>
        </w:rPr>
        <w:t xml:space="preserve">for </w:t>
      </w:r>
      <w:r w:rsidR="00285013" w:rsidRPr="00D53383">
        <w:rPr>
          <w:color w:val="000000"/>
          <w:lang w:val="en-GB"/>
        </w:rPr>
        <w:t xml:space="preserve">Declaration of a Legal Status </w:t>
      </w:r>
      <w:r w:rsidR="00DF01DE" w:rsidRPr="00D53383">
        <w:rPr>
          <w:color w:val="000000"/>
          <w:lang w:val="en-GB"/>
        </w:rPr>
        <w:t xml:space="preserve">of a Small and Medium-Sized Entity and </w:t>
      </w:r>
      <w:r w:rsidR="00613AB4" w:rsidRPr="00D53383">
        <w:rPr>
          <w:color w:val="000000"/>
          <w:lang w:val="en-GB"/>
        </w:rPr>
        <w:t xml:space="preserve">Approval of a </w:t>
      </w:r>
      <w:r w:rsidR="00425227" w:rsidRPr="00D53383">
        <w:rPr>
          <w:color w:val="000000"/>
          <w:lang w:val="en-GB"/>
        </w:rPr>
        <w:t>F</w:t>
      </w:r>
      <w:r w:rsidR="00613AB4" w:rsidRPr="00D53383">
        <w:rPr>
          <w:color w:val="000000"/>
          <w:lang w:val="en-GB"/>
        </w:rPr>
        <w:t xml:space="preserve">orm </w:t>
      </w:r>
      <w:r w:rsidR="002125C1" w:rsidRPr="00D53383">
        <w:rPr>
          <w:color w:val="000000"/>
          <w:lang w:val="en-GB"/>
        </w:rPr>
        <w:t>for</w:t>
      </w:r>
      <w:r w:rsidR="00851F52" w:rsidRPr="00D53383">
        <w:rPr>
          <w:color w:val="000000"/>
          <w:lang w:val="en-GB"/>
        </w:rPr>
        <w:t xml:space="preserve"> Declaration of</w:t>
      </w:r>
      <w:r w:rsidR="009B050C" w:rsidRPr="00D53383">
        <w:rPr>
          <w:color w:val="000000"/>
          <w:lang w:val="en-GB"/>
        </w:rPr>
        <w:t xml:space="preserve"> a Legal Status of</w:t>
      </w:r>
      <w:r w:rsidR="00851F52" w:rsidRPr="00D53383">
        <w:rPr>
          <w:color w:val="000000"/>
          <w:lang w:val="en-GB"/>
        </w:rPr>
        <w:t xml:space="preserve"> </w:t>
      </w:r>
      <w:r w:rsidR="0073399F" w:rsidRPr="00D53383">
        <w:rPr>
          <w:color w:val="000000"/>
          <w:lang w:val="en-GB"/>
        </w:rPr>
        <w:t xml:space="preserve">a Small and Medium-Sized </w:t>
      </w:r>
      <w:r w:rsidR="00FB6C3C" w:rsidRPr="00D53383">
        <w:rPr>
          <w:color w:val="000000"/>
          <w:lang w:val="en-GB"/>
        </w:rPr>
        <w:t>E</w:t>
      </w:r>
      <w:r w:rsidR="0073399F" w:rsidRPr="00D53383">
        <w:rPr>
          <w:color w:val="000000"/>
          <w:lang w:val="en-GB"/>
        </w:rPr>
        <w:t>ntity</w:t>
      </w:r>
      <w:r w:rsidR="0082305B" w:rsidRPr="00D53383">
        <w:rPr>
          <w:color w:val="000000"/>
          <w:lang w:val="en-GB"/>
        </w:rPr>
        <w:t>”</w:t>
      </w:r>
      <w:r w:rsidR="003206CA" w:rsidRPr="00D53383">
        <w:rPr>
          <w:color w:val="000000"/>
          <w:lang w:val="en-GB"/>
        </w:rPr>
        <w:t>, Order</w:t>
      </w:r>
      <w:r w:rsidR="004B000F" w:rsidRPr="00D53383">
        <w:rPr>
          <w:color w:val="000000"/>
          <w:lang w:val="en-GB"/>
        </w:rPr>
        <w:t xml:space="preserve"> No. 4-119 of 26 March 2008</w:t>
      </w:r>
      <w:r w:rsidR="008E356E" w:rsidRPr="00D53383">
        <w:rPr>
          <w:color w:val="000000"/>
          <w:lang w:val="en-GB"/>
        </w:rPr>
        <w:t>;</w:t>
      </w:r>
    </w:p>
    <w:p w14:paraId="4054F879" w14:textId="762E448B" w:rsidR="004C1CDB" w:rsidRPr="00D53383" w:rsidRDefault="004C1CDB" w:rsidP="004C1CDB">
      <w:pPr>
        <w:pStyle w:val="ListParagraph"/>
        <w:numPr>
          <w:ilvl w:val="2"/>
          <w:numId w:val="3"/>
        </w:numPr>
        <w:tabs>
          <w:tab w:val="left" w:pos="1134"/>
          <w:tab w:val="left" w:pos="1276"/>
          <w:tab w:val="left" w:pos="1418"/>
          <w:tab w:val="left" w:pos="1560"/>
        </w:tabs>
        <w:ind w:left="0" w:firstLine="709"/>
        <w:contextualSpacing w:val="0"/>
        <w:jc w:val="both"/>
        <w:rPr>
          <w:color w:val="000000"/>
          <w:lang w:val="en-GB"/>
        </w:rPr>
      </w:pPr>
      <w:r w:rsidRPr="00D53383">
        <w:rPr>
          <w:color w:val="000000"/>
          <w:lang w:val="en-GB"/>
        </w:rPr>
        <w:t xml:space="preserve">For Applicants registered in one of the </w:t>
      </w:r>
      <w:r w:rsidR="000F2FB6" w:rsidRPr="00D53383">
        <w:rPr>
          <w:lang w:val="en-GB"/>
        </w:rPr>
        <w:t>EU states</w:t>
      </w:r>
      <w:r w:rsidR="00F73C7A" w:rsidRPr="00D53383">
        <w:rPr>
          <w:lang w:val="en-GB"/>
        </w:rPr>
        <w:t xml:space="preserve"> (</w:t>
      </w:r>
      <w:r w:rsidR="000F2FB6" w:rsidRPr="00D53383">
        <w:rPr>
          <w:lang w:val="en-GB"/>
        </w:rPr>
        <w:t>excluding Lithuania</w:t>
      </w:r>
      <w:r w:rsidR="00F73C7A" w:rsidRPr="00D53383">
        <w:rPr>
          <w:lang w:val="en-GB"/>
        </w:rPr>
        <w:t>)</w:t>
      </w:r>
      <w:r w:rsidR="000F2FB6" w:rsidRPr="00D53383">
        <w:rPr>
          <w:lang w:val="en-GB"/>
        </w:rPr>
        <w:t xml:space="preserve"> or EFTA state</w:t>
      </w:r>
      <w:r w:rsidR="00F73C7A" w:rsidRPr="00D53383">
        <w:rPr>
          <w:lang w:val="en-GB"/>
        </w:rPr>
        <w:t>s</w:t>
      </w:r>
      <w:r w:rsidR="000F2FB6" w:rsidRPr="00D53383">
        <w:rPr>
          <w:color w:val="000000"/>
          <w:lang w:val="en-GB"/>
        </w:rPr>
        <w:t xml:space="preserve"> </w:t>
      </w:r>
      <w:r w:rsidRPr="00D53383">
        <w:rPr>
          <w:color w:val="000000"/>
          <w:lang w:val="en-GB"/>
        </w:rPr>
        <w:t>and Norwegian partners - the European Commission SME declaration form.</w:t>
      </w:r>
    </w:p>
    <w:p w14:paraId="74EFBFFF" w14:textId="690D28E1" w:rsidR="00D53383" w:rsidRPr="00D53383" w:rsidRDefault="00D53383"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D53383">
        <w:rPr>
          <w:color w:val="000000"/>
          <w:lang w:val="en-GB"/>
        </w:rPr>
        <w:t>Declaration of a Single Undertaking (applicable if an Applicant is registered in Lithuania)</w:t>
      </w:r>
      <w:r w:rsidR="002D0AAA">
        <w:rPr>
          <w:color w:val="000000"/>
          <w:lang w:val="en-GB"/>
        </w:rPr>
        <w:t>.</w:t>
      </w:r>
    </w:p>
    <w:p w14:paraId="2DA045D1" w14:textId="0CB0C7DA" w:rsidR="000061CA" w:rsidRPr="00D53383" w:rsidRDefault="00EB3658" w:rsidP="00B15974">
      <w:pPr>
        <w:pStyle w:val="ListParagraph"/>
        <w:numPr>
          <w:ilvl w:val="1"/>
          <w:numId w:val="3"/>
        </w:numPr>
        <w:tabs>
          <w:tab w:val="left" w:pos="1134"/>
          <w:tab w:val="left" w:pos="1276"/>
          <w:tab w:val="left" w:pos="1418"/>
        </w:tabs>
        <w:ind w:left="0" w:firstLine="709"/>
        <w:contextualSpacing w:val="0"/>
        <w:jc w:val="both"/>
        <w:rPr>
          <w:color w:val="000000"/>
          <w:lang w:val="en-GB"/>
        </w:rPr>
      </w:pPr>
      <w:r w:rsidRPr="00D53383">
        <w:rPr>
          <w:color w:val="000000"/>
          <w:lang w:val="en-GB"/>
        </w:rPr>
        <w:t>a copy</w:t>
      </w:r>
      <w:r w:rsidR="00F762D7" w:rsidRPr="00D53383">
        <w:rPr>
          <w:color w:val="000000"/>
          <w:lang w:val="en-GB"/>
        </w:rPr>
        <w:t xml:space="preserve"> (-</w:t>
      </w:r>
      <w:proofErr w:type="spellStart"/>
      <w:r w:rsidR="00F762D7" w:rsidRPr="00D53383">
        <w:rPr>
          <w:color w:val="000000"/>
          <w:lang w:val="en-GB"/>
        </w:rPr>
        <w:t>ies</w:t>
      </w:r>
      <w:proofErr w:type="spellEnd"/>
      <w:r w:rsidR="00F762D7" w:rsidRPr="00D53383">
        <w:rPr>
          <w:color w:val="000000"/>
          <w:lang w:val="en-GB"/>
        </w:rPr>
        <w:t>)</w:t>
      </w:r>
      <w:r w:rsidRPr="00D53383">
        <w:rPr>
          <w:color w:val="000000"/>
          <w:lang w:val="en-GB"/>
        </w:rPr>
        <w:t xml:space="preserve"> of </w:t>
      </w:r>
      <w:r w:rsidR="001430BE" w:rsidRPr="00D53383">
        <w:rPr>
          <w:color w:val="000000"/>
          <w:lang w:val="en-GB"/>
        </w:rPr>
        <w:t xml:space="preserve">a </w:t>
      </w:r>
      <w:r w:rsidR="00BB0056" w:rsidRPr="00D53383">
        <w:rPr>
          <w:color w:val="000000"/>
          <w:lang w:val="en-GB"/>
        </w:rPr>
        <w:t>report</w:t>
      </w:r>
      <w:r w:rsidR="001430BE" w:rsidRPr="00D53383">
        <w:rPr>
          <w:color w:val="000000"/>
          <w:lang w:val="en-GB"/>
        </w:rPr>
        <w:t>(-</w:t>
      </w:r>
      <w:r w:rsidR="00D305E8" w:rsidRPr="00D53383">
        <w:rPr>
          <w:color w:val="000000"/>
          <w:lang w:val="en-GB"/>
        </w:rPr>
        <w:t>s</w:t>
      </w:r>
      <w:r w:rsidR="001430BE" w:rsidRPr="00D53383">
        <w:rPr>
          <w:color w:val="000000"/>
          <w:lang w:val="en-GB"/>
        </w:rPr>
        <w:t>)</w:t>
      </w:r>
      <w:r w:rsidR="00BB0056" w:rsidRPr="00D53383">
        <w:rPr>
          <w:color w:val="000000"/>
          <w:lang w:val="en-GB"/>
        </w:rPr>
        <w:t xml:space="preserve"> on </w:t>
      </w:r>
      <w:r w:rsidR="005D1E22" w:rsidRPr="00D53383">
        <w:rPr>
          <w:color w:val="000000"/>
          <w:lang w:val="en-GB"/>
        </w:rPr>
        <w:t xml:space="preserve">expenses incurred in relation to R&amp;D </w:t>
      </w:r>
      <w:r w:rsidRPr="00D53383">
        <w:rPr>
          <w:color w:val="000000"/>
          <w:lang w:val="en-GB"/>
        </w:rPr>
        <w:t>activities</w:t>
      </w:r>
      <w:r w:rsidR="00C05FF1" w:rsidRPr="00D53383">
        <w:rPr>
          <w:color w:val="000000"/>
          <w:lang w:val="en-GB"/>
        </w:rPr>
        <w:t>,</w:t>
      </w:r>
      <w:r w:rsidRPr="00D53383">
        <w:rPr>
          <w:color w:val="000000"/>
          <w:lang w:val="en-GB"/>
        </w:rPr>
        <w:t xml:space="preserve"> </w:t>
      </w:r>
      <w:r w:rsidR="00AA2401" w:rsidRPr="00D53383">
        <w:rPr>
          <w:color w:val="000000"/>
          <w:lang w:val="en-GB"/>
        </w:rPr>
        <w:t xml:space="preserve">submitted to </w:t>
      </w:r>
      <w:r w:rsidR="001C7A0E" w:rsidRPr="00D53383">
        <w:rPr>
          <w:color w:val="000000"/>
          <w:lang w:val="en-GB"/>
        </w:rPr>
        <w:t>the</w:t>
      </w:r>
      <w:r w:rsidR="00FE7812" w:rsidRPr="00D53383">
        <w:rPr>
          <w:color w:val="000000"/>
          <w:lang w:val="en-GB"/>
        </w:rPr>
        <w:t xml:space="preserve"> </w:t>
      </w:r>
      <w:r w:rsidR="005D1FAB" w:rsidRPr="00D53383">
        <w:rPr>
          <w:color w:val="000000"/>
          <w:lang w:val="en-GB"/>
        </w:rPr>
        <w:t xml:space="preserve">statistical </w:t>
      </w:r>
      <w:r w:rsidR="00516BDE" w:rsidRPr="00D53383">
        <w:rPr>
          <w:color w:val="000000"/>
          <w:lang w:val="en-GB"/>
        </w:rPr>
        <w:t>authority</w:t>
      </w:r>
      <w:r w:rsidR="00FE7812" w:rsidRPr="00D53383">
        <w:rPr>
          <w:color w:val="000000"/>
          <w:lang w:val="en-GB"/>
        </w:rPr>
        <w:t xml:space="preserve"> </w:t>
      </w:r>
      <w:r w:rsidR="00D305E8" w:rsidRPr="00D53383">
        <w:rPr>
          <w:color w:val="000000"/>
          <w:lang w:val="en-GB"/>
        </w:rPr>
        <w:t xml:space="preserve">for the </w:t>
      </w:r>
      <w:r w:rsidR="00AA4B91" w:rsidRPr="00D53383">
        <w:rPr>
          <w:color w:val="000000"/>
          <w:lang w:val="en-GB"/>
        </w:rPr>
        <w:t xml:space="preserve">period of </w:t>
      </w:r>
      <w:r w:rsidR="00D305E8" w:rsidRPr="00D53383">
        <w:rPr>
          <w:color w:val="000000"/>
          <w:lang w:val="en-GB"/>
        </w:rPr>
        <w:t>last three years</w:t>
      </w:r>
      <w:r w:rsidR="001C7A0E" w:rsidRPr="00D53383">
        <w:rPr>
          <w:color w:val="000000"/>
          <w:lang w:val="en-GB"/>
        </w:rPr>
        <w:t xml:space="preserve"> </w:t>
      </w:r>
      <w:r w:rsidR="008910DE" w:rsidRPr="00D53383">
        <w:rPr>
          <w:color w:val="000000"/>
          <w:lang w:val="en-GB"/>
        </w:rPr>
        <w:t>preceding</w:t>
      </w:r>
      <w:r w:rsidR="009E3681" w:rsidRPr="00D53383">
        <w:rPr>
          <w:color w:val="000000"/>
          <w:lang w:val="en-GB"/>
        </w:rPr>
        <w:t xml:space="preserve"> a date on which </w:t>
      </w:r>
      <w:r w:rsidR="00B4601B" w:rsidRPr="00D53383">
        <w:rPr>
          <w:color w:val="000000"/>
          <w:lang w:val="en-GB"/>
        </w:rPr>
        <w:t xml:space="preserve">an </w:t>
      </w:r>
      <w:r w:rsidR="009E3681" w:rsidRPr="00D53383">
        <w:rPr>
          <w:color w:val="000000"/>
          <w:lang w:val="en-GB"/>
        </w:rPr>
        <w:t>application</w:t>
      </w:r>
      <w:r w:rsidR="008910DE" w:rsidRPr="00D53383">
        <w:rPr>
          <w:color w:val="000000"/>
          <w:lang w:val="en-GB"/>
        </w:rPr>
        <w:t xml:space="preserve"> </w:t>
      </w:r>
      <w:r w:rsidR="009E3681" w:rsidRPr="00D53383">
        <w:rPr>
          <w:color w:val="000000"/>
          <w:lang w:val="en-GB"/>
        </w:rPr>
        <w:t>is registered</w:t>
      </w:r>
      <w:r w:rsidR="00FE1F64" w:rsidRPr="00D53383">
        <w:rPr>
          <w:color w:val="000000"/>
          <w:lang w:val="en-GB"/>
        </w:rPr>
        <w:t xml:space="preserve"> </w:t>
      </w:r>
      <w:r w:rsidR="00D53383" w:rsidRPr="00D53383">
        <w:rPr>
          <w:color w:val="000000"/>
          <w:lang w:val="en-GB"/>
        </w:rPr>
        <w:t xml:space="preserve">by MITA </w:t>
      </w:r>
      <w:r w:rsidR="00405F29" w:rsidRPr="00D53383">
        <w:rPr>
          <w:color w:val="000000"/>
          <w:lang w:val="en-GB"/>
        </w:rPr>
        <w:t xml:space="preserve">or </w:t>
      </w:r>
      <w:r w:rsidR="00FA2C6A" w:rsidRPr="00D53383">
        <w:rPr>
          <w:color w:val="000000"/>
          <w:lang w:val="en-GB"/>
        </w:rPr>
        <w:t>since</w:t>
      </w:r>
      <w:r w:rsidR="00405F29" w:rsidRPr="00D53383">
        <w:rPr>
          <w:color w:val="000000"/>
          <w:lang w:val="en-GB"/>
        </w:rPr>
        <w:t xml:space="preserve"> the date </w:t>
      </w:r>
      <w:r w:rsidR="00C00430" w:rsidRPr="00D53383">
        <w:rPr>
          <w:color w:val="000000"/>
          <w:lang w:val="en-GB"/>
        </w:rPr>
        <w:t>of registration of an entity</w:t>
      </w:r>
      <w:r w:rsidR="00DE2B22" w:rsidRPr="00D53383">
        <w:rPr>
          <w:color w:val="000000"/>
          <w:lang w:val="en-GB"/>
        </w:rPr>
        <w:t xml:space="preserve"> (if an entity has been </w:t>
      </w:r>
      <w:r w:rsidR="00EB17D5" w:rsidRPr="00D53383">
        <w:rPr>
          <w:color w:val="000000"/>
          <w:lang w:val="en-GB"/>
        </w:rPr>
        <w:t>active for less than three years)</w:t>
      </w:r>
      <w:r w:rsidR="00125008" w:rsidRPr="00D53383">
        <w:rPr>
          <w:color w:val="000000"/>
          <w:lang w:val="en-GB"/>
        </w:rPr>
        <w:t xml:space="preserve"> and a </w:t>
      </w:r>
      <w:r w:rsidR="00F813B2" w:rsidRPr="00D53383">
        <w:rPr>
          <w:color w:val="000000"/>
          <w:lang w:val="en-GB"/>
        </w:rPr>
        <w:t>copy (-</w:t>
      </w:r>
      <w:proofErr w:type="spellStart"/>
      <w:r w:rsidR="00F813B2" w:rsidRPr="00D53383">
        <w:rPr>
          <w:color w:val="000000"/>
          <w:lang w:val="en-GB"/>
        </w:rPr>
        <w:t>ies</w:t>
      </w:r>
      <w:proofErr w:type="spellEnd"/>
      <w:r w:rsidR="00F813B2" w:rsidRPr="00D53383">
        <w:rPr>
          <w:color w:val="000000"/>
          <w:lang w:val="en-GB"/>
        </w:rPr>
        <w:t>) of a do</w:t>
      </w:r>
      <w:r w:rsidR="007303E4" w:rsidRPr="00D53383">
        <w:rPr>
          <w:color w:val="000000"/>
          <w:lang w:val="en-GB"/>
        </w:rPr>
        <w:t xml:space="preserve">cument supporting </w:t>
      </w:r>
      <w:r w:rsidR="00A21BA9" w:rsidRPr="00D53383">
        <w:rPr>
          <w:color w:val="000000"/>
          <w:lang w:val="en-GB"/>
        </w:rPr>
        <w:t>submission of</w:t>
      </w:r>
      <w:r w:rsidR="002A52AE" w:rsidRPr="00D53383">
        <w:rPr>
          <w:color w:val="000000"/>
          <w:lang w:val="en-GB"/>
        </w:rPr>
        <w:t xml:space="preserve"> a report o</w:t>
      </w:r>
      <w:r w:rsidR="00020670" w:rsidRPr="00D53383">
        <w:rPr>
          <w:color w:val="000000"/>
          <w:lang w:val="en-GB"/>
        </w:rPr>
        <w:t>n</w:t>
      </w:r>
      <w:r w:rsidR="002A52AE" w:rsidRPr="00D53383">
        <w:rPr>
          <w:color w:val="000000"/>
          <w:lang w:val="en-GB"/>
        </w:rPr>
        <w:t xml:space="preserve"> </w:t>
      </w:r>
      <w:r w:rsidR="00020670" w:rsidRPr="00D53383">
        <w:rPr>
          <w:color w:val="000000"/>
          <w:lang w:val="en-GB"/>
        </w:rPr>
        <w:t>expenses incurred in relatio</w:t>
      </w:r>
      <w:r w:rsidR="004B475E" w:rsidRPr="00D53383">
        <w:rPr>
          <w:color w:val="000000"/>
          <w:lang w:val="en-GB"/>
        </w:rPr>
        <w:t>n</w:t>
      </w:r>
      <w:r w:rsidR="00020670" w:rsidRPr="00D53383">
        <w:rPr>
          <w:color w:val="000000"/>
          <w:lang w:val="en-GB"/>
        </w:rPr>
        <w:t xml:space="preserve"> to </w:t>
      </w:r>
      <w:r w:rsidR="002A52AE" w:rsidRPr="00D53383">
        <w:rPr>
          <w:color w:val="000000"/>
          <w:lang w:val="en-GB"/>
        </w:rPr>
        <w:t>R</w:t>
      </w:r>
      <w:r w:rsidR="00636F72" w:rsidRPr="00D53383">
        <w:rPr>
          <w:color w:val="000000"/>
          <w:lang w:val="en-GB"/>
        </w:rPr>
        <w:t>&amp;</w:t>
      </w:r>
      <w:r w:rsidR="002A52AE" w:rsidRPr="00D53383">
        <w:rPr>
          <w:color w:val="000000"/>
          <w:lang w:val="en-GB"/>
        </w:rPr>
        <w:t xml:space="preserve">D </w:t>
      </w:r>
      <w:r w:rsidR="00636F72" w:rsidRPr="00D53383">
        <w:rPr>
          <w:color w:val="000000"/>
          <w:lang w:val="en-GB"/>
        </w:rPr>
        <w:t xml:space="preserve">activities </w:t>
      </w:r>
      <w:r w:rsidR="005604CA" w:rsidRPr="00D53383">
        <w:rPr>
          <w:color w:val="000000"/>
          <w:lang w:val="en-GB"/>
        </w:rPr>
        <w:t>for the statistical authority</w:t>
      </w:r>
      <w:r w:rsidR="00BA464B" w:rsidRPr="00D53383">
        <w:rPr>
          <w:color w:val="000000"/>
          <w:lang w:val="en-GB"/>
        </w:rPr>
        <w:t xml:space="preserve"> (i.e. </w:t>
      </w:r>
      <w:r w:rsidR="00463362" w:rsidRPr="00D53383">
        <w:rPr>
          <w:color w:val="000000"/>
          <w:lang w:val="en-GB"/>
        </w:rPr>
        <w:t>an email</w:t>
      </w:r>
      <w:r w:rsidR="00F22922" w:rsidRPr="00D53383">
        <w:rPr>
          <w:color w:val="000000"/>
          <w:lang w:val="en-GB"/>
        </w:rPr>
        <w:t xml:space="preserve"> or </w:t>
      </w:r>
      <w:r w:rsidR="00E34614" w:rsidRPr="00D53383">
        <w:rPr>
          <w:color w:val="000000"/>
          <w:lang w:val="en-GB"/>
        </w:rPr>
        <w:t xml:space="preserve">any </w:t>
      </w:r>
      <w:r w:rsidR="00F22922" w:rsidRPr="00D53383">
        <w:rPr>
          <w:color w:val="000000"/>
          <w:lang w:val="en-GB"/>
        </w:rPr>
        <w:t xml:space="preserve">other </w:t>
      </w:r>
      <w:r w:rsidR="00E34614" w:rsidRPr="00D53383">
        <w:rPr>
          <w:color w:val="000000"/>
          <w:lang w:val="en-GB"/>
        </w:rPr>
        <w:t>source of information</w:t>
      </w:r>
      <w:r w:rsidR="000921AE" w:rsidRPr="00D53383">
        <w:rPr>
          <w:color w:val="000000"/>
          <w:lang w:val="en-GB"/>
        </w:rPr>
        <w:t xml:space="preserve"> </w:t>
      </w:r>
      <w:r w:rsidR="00603C4C" w:rsidRPr="00D53383">
        <w:rPr>
          <w:color w:val="000000"/>
          <w:lang w:val="en-GB"/>
        </w:rPr>
        <w:t>verifying</w:t>
      </w:r>
      <w:r w:rsidR="000921AE" w:rsidRPr="00D53383">
        <w:rPr>
          <w:color w:val="000000"/>
          <w:lang w:val="en-GB"/>
        </w:rPr>
        <w:t xml:space="preserve"> the fact of submission)</w:t>
      </w:r>
      <w:r w:rsidR="00FE6FCC" w:rsidRPr="00D53383">
        <w:rPr>
          <w:color w:val="000000"/>
          <w:lang w:val="en-GB"/>
        </w:rPr>
        <w:t>;</w:t>
      </w:r>
    </w:p>
    <w:p w14:paraId="70FEAD7E" w14:textId="31DF92BB" w:rsidR="00AE2ED8" w:rsidRPr="00D53383" w:rsidRDefault="00D53383" w:rsidP="0063568C">
      <w:pPr>
        <w:pStyle w:val="ListParagraph"/>
        <w:numPr>
          <w:ilvl w:val="1"/>
          <w:numId w:val="3"/>
        </w:numPr>
        <w:tabs>
          <w:tab w:val="left" w:pos="993"/>
          <w:tab w:val="left" w:pos="1418"/>
        </w:tabs>
        <w:ind w:left="0" w:firstLine="709"/>
        <w:rPr>
          <w:lang w:val="en-GB"/>
        </w:rPr>
      </w:pPr>
      <w:bookmarkStart w:id="9" w:name="part_7fd7f82f19244572908d781f424fb7ef"/>
      <w:bookmarkStart w:id="10" w:name="part_908c084a36de4a159562cc075c8f3b08"/>
      <w:bookmarkEnd w:id="9"/>
      <w:bookmarkEnd w:id="10"/>
      <w:r w:rsidRPr="00D53383">
        <w:rPr>
          <w:color w:val="000000"/>
          <w:lang w:val="en-GB"/>
        </w:rPr>
        <w:t xml:space="preserve">a copy of </w:t>
      </w:r>
      <w:r w:rsidR="00AE2ED8" w:rsidRPr="00D53383">
        <w:rPr>
          <w:lang w:val="en-GB"/>
        </w:rPr>
        <w:t>relevant registration certificate</w:t>
      </w:r>
      <w:r w:rsidRPr="00D53383">
        <w:rPr>
          <w:lang w:val="en-GB"/>
        </w:rPr>
        <w:t>s</w:t>
      </w:r>
      <w:r w:rsidR="000F2FB6" w:rsidRPr="00D53383">
        <w:rPr>
          <w:lang w:val="en-GB"/>
        </w:rPr>
        <w:t xml:space="preserve"> (applicable for </w:t>
      </w:r>
      <w:r w:rsidR="000F2FB6" w:rsidRPr="00D53383">
        <w:rPr>
          <w:color w:val="000000"/>
          <w:lang w:val="en-GB"/>
        </w:rPr>
        <w:t>Applicants</w:t>
      </w:r>
      <w:r w:rsidR="000F2FB6" w:rsidRPr="00D53383">
        <w:rPr>
          <w:lang w:val="en-GB"/>
        </w:rPr>
        <w:t xml:space="preserve"> registered in one </w:t>
      </w:r>
      <w:r w:rsidR="000F2FB6" w:rsidRPr="00D53383">
        <w:rPr>
          <w:color w:val="000000"/>
          <w:lang w:val="en-GB"/>
        </w:rPr>
        <w:t xml:space="preserve">of the </w:t>
      </w:r>
      <w:r w:rsidR="000F2FB6" w:rsidRPr="00D53383">
        <w:rPr>
          <w:lang w:val="en-GB"/>
        </w:rPr>
        <w:t>EU states</w:t>
      </w:r>
      <w:r w:rsidR="00E87FC7" w:rsidRPr="00D53383">
        <w:rPr>
          <w:lang w:val="en-GB"/>
        </w:rPr>
        <w:t xml:space="preserve"> (</w:t>
      </w:r>
      <w:r w:rsidR="000F2FB6" w:rsidRPr="00D53383">
        <w:rPr>
          <w:lang w:val="en-GB"/>
        </w:rPr>
        <w:t>excluding Lithuania</w:t>
      </w:r>
      <w:r w:rsidR="00E87FC7" w:rsidRPr="00D53383">
        <w:rPr>
          <w:lang w:val="en-GB"/>
        </w:rPr>
        <w:t>)</w:t>
      </w:r>
      <w:r w:rsidR="000F2FB6" w:rsidRPr="00D53383">
        <w:rPr>
          <w:lang w:val="en-GB"/>
        </w:rPr>
        <w:t xml:space="preserve"> or EFTA state)</w:t>
      </w:r>
      <w:r w:rsidR="00AE2ED8" w:rsidRPr="00D53383">
        <w:rPr>
          <w:lang w:val="en-GB"/>
        </w:rPr>
        <w:t xml:space="preserve">; </w:t>
      </w:r>
    </w:p>
    <w:p w14:paraId="7552BF65" w14:textId="0136A394" w:rsidR="00AE2ED8" w:rsidRPr="00D53383" w:rsidRDefault="001862DA" w:rsidP="000F2FB6">
      <w:pPr>
        <w:pStyle w:val="ListParagraph"/>
        <w:numPr>
          <w:ilvl w:val="1"/>
          <w:numId w:val="3"/>
        </w:numPr>
        <w:tabs>
          <w:tab w:val="left" w:pos="993"/>
          <w:tab w:val="left" w:pos="1418"/>
        </w:tabs>
        <w:ind w:left="0" w:firstLine="709"/>
        <w:jc w:val="both"/>
        <w:rPr>
          <w:lang w:val="en-GB"/>
        </w:rPr>
      </w:pPr>
      <w:r w:rsidRPr="00D53383">
        <w:rPr>
          <w:lang w:val="en-GB"/>
        </w:rPr>
        <w:t xml:space="preserve">a copy of </w:t>
      </w:r>
      <w:r w:rsidR="00AE2ED8" w:rsidRPr="00D53383">
        <w:rPr>
          <w:lang w:val="en-GB"/>
        </w:rPr>
        <w:t>the last approved annual financial statement</w:t>
      </w:r>
      <w:r w:rsidR="0063568C" w:rsidRPr="00D53383">
        <w:rPr>
          <w:lang w:val="en-GB"/>
        </w:rPr>
        <w:t xml:space="preserve"> (for Lithuanian applicants</w:t>
      </w:r>
      <w:r w:rsidR="000F2FB6" w:rsidRPr="00D53383">
        <w:rPr>
          <w:lang w:val="en-GB"/>
        </w:rPr>
        <w:t xml:space="preserve"> </w:t>
      </w:r>
      <w:r w:rsidR="0063568C" w:rsidRPr="00D53383">
        <w:rPr>
          <w:lang w:val="en-GB"/>
        </w:rPr>
        <w:t xml:space="preserve">applicable only if financial reports </w:t>
      </w:r>
      <w:r w:rsidR="000F2FB6" w:rsidRPr="00D53383">
        <w:rPr>
          <w:lang w:val="en-GB"/>
        </w:rPr>
        <w:t xml:space="preserve">were not </w:t>
      </w:r>
      <w:r w:rsidR="0063568C" w:rsidRPr="00D53383">
        <w:rPr>
          <w:lang w:val="en-GB"/>
        </w:rPr>
        <w:t>submitted to the State Enterprise Centre of Registers)</w:t>
      </w:r>
      <w:r w:rsidR="00AE2ED8" w:rsidRPr="00D53383">
        <w:rPr>
          <w:lang w:val="en-GB"/>
        </w:rPr>
        <w:t>;</w:t>
      </w:r>
    </w:p>
    <w:p w14:paraId="6BAB38A7" w14:textId="5B7E9619" w:rsidR="00B15974" w:rsidRPr="00D53383" w:rsidRDefault="00D53383" w:rsidP="0063568C">
      <w:pPr>
        <w:pStyle w:val="ListParagraph"/>
        <w:numPr>
          <w:ilvl w:val="1"/>
          <w:numId w:val="3"/>
        </w:numPr>
        <w:tabs>
          <w:tab w:val="left" w:pos="993"/>
          <w:tab w:val="left" w:pos="1418"/>
        </w:tabs>
        <w:ind w:left="0" w:firstLine="709"/>
        <w:rPr>
          <w:lang w:val="en-GB"/>
        </w:rPr>
      </w:pPr>
      <w:r w:rsidRPr="00D53383">
        <w:rPr>
          <w:lang w:val="en-GB"/>
        </w:rPr>
        <w:t>an approved</w:t>
      </w:r>
      <w:r w:rsidR="00F60F01" w:rsidRPr="00D53383">
        <w:rPr>
          <w:lang w:val="en-GB"/>
        </w:rPr>
        <w:t xml:space="preserve"> </w:t>
      </w:r>
      <w:r w:rsidR="00AE2ED8" w:rsidRPr="00D53383">
        <w:rPr>
          <w:lang w:val="en-GB"/>
        </w:rPr>
        <w:t>annual report for year 2019</w:t>
      </w:r>
      <w:r w:rsidR="0063568C" w:rsidRPr="00D53383">
        <w:rPr>
          <w:lang w:val="en-GB"/>
        </w:rPr>
        <w:t xml:space="preserve"> in English (applicable for </w:t>
      </w:r>
      <w:r w:rsidR="0063568C" w:rsidRPr="00D53383">
        <w:rPr>
          <w:color w:val="000000"/>
          <w:lang w:val="en-GB"/>
        </w:rPr>
        <w:t>Applicants</w:t>
      </w:r>
      <w:r w:rsidR="0063568C" w:rsidRPr="00D53383">
        <w:rPr>
          <w:lang w:val="en-GB"/>
        </w:rPr>
        <w:t xml:space="preserve"> registered in one </w:t>
      </w:r>
      <w:r w:rsidR="000F2FB6" w:rsidRPr="00D53383">
        <w:rPr>
          <w:color w:val="000000"/>
          <w:lang w:val="en-GB"/>
        </w:rPr>
        <w:t xml:space="preserve">of the </w:t>
      </w:r>
      <w:r w:rsidR="000F2FB6" w:rsidRPr="00D53383">
        <w:rPr>
          <w:lang w:val="en-GB"/>
        </w:rPr>
        <w:t>EU states</w:t>
      </w:r>
      <w:r w:rsidR="00E64703" w:rsidRPr="00D53383">
        <w:rPr>
          <w:lang w:val="en-GB"/>
        </w:rPr>
        <w:t xml:space="preserve"> (</w:t>
      </w:r>
      <w:r w:rsidR="000F2FB6" w:rsidRPr="00D53383">
        <w:rPr>
          <w:lang w:val="en-GB"/>
        </w:rPr>
        <w:t>excluding Lithuania</w:t>
      </w:r>
      <w:r w:rsidR="00E64703" w:rsidRPr="00D53383">
        <w:rPr>
          <w:lang w:val="en-GB"/>
        </w:rPr>
        <w:t>)</w:t>
      </w:r>
      <w:r w:rsidR="000F2FB6" w:rsidRPr="00D53383">
        <w:rPr>
          <w:lang w:val="en-GB"/>
        </w:rPr>
        <w:t xml:space="preserve"> or EFTA state</w:t>
      </w:r>
      <w:r w:rsidR="0063568C" w:rsidRPr="00D53383">
        <w:rPr>
          <w:lang w:val="en-GB"/>
        </w:rPr>
        <w:t>)</w:t>
      </w:r>
      <w:r w:rsidR="00AE2ED8" w:rsidRPr="00D53383">
        <w:rPr>
          <w:lang w:val="en-GB"/>
        </w:rPr>
        <w:t>.</w:t>
      </w:r>
    </w:p>
    <w:p w14:paraId="366F0D8F" w14:textId="68AED8B4" w:rsidR="0021677F" w:rsidRPr="00107B76" w:rsidRDefault="004B06B9" w:rsidP="00AE2ED8">
      <w:pPr>
        <w:pStyle w:val="ListParagraph"/>
        <w:numPr>
          <w:ilvl w:val="0"/>
          <w:numId w:val="3"/>
        </w:numPr>
        <w:tabs>
          <w:tab w:val="left" w:pos="0"/>
          <w:tab w:val="left" w:pos="993"/>
          <w:tab w:val="left" w:pos="1134"/>
        </w:tabs>
        <w:ind w:left="0" w:firstLine="709"/>
        <w:contextualSpacing w:val="0"/>
        <w:jc w:val="both"/>
        <w:rPr>
          <w:lang w:val="en-GB"/>
        </w:rPr>
      </w:pPr>
      <w:r w:rsidRPr="00107B76">
        <w:rPr>
          <w:lang w:val="en-GB"/>
        </w:rPr>
        <w:t xml:space="preserve">Only </w:t>
      </w:r>
      <w:r w:rsidR="00722917" w:rsidRPr="00107B76">
        <w:rPr>
          <w:lang w:val="en-GB"/>
        </w:rPr>
        <w:t>one application per Applicant shall be submitted under the Call.</w:t>
      </w:r>
    </w:p>
    <w:p w14:paraId="16BC65FB" w14:textId="140767CD" w:rsidR="00722917" w:rsidRPr="00107B76" w:rsidRDefault="00722917"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Applicants are informed and consulted in line with the Chapter III of the </w:t>
      </w:r>
      <w:r w:rsidR="00D53383">
        <w:rPr>
          <w:lang w:val="en-GB"/>
        </w:rPr>
        <w:t>National Rules</w:t>
      </w:r>
      <w:r w:rsidRPr="00107B76">
        <w:rPr>
          <w:lang w:val="en-GB"/>
        </w:rPr>
        <w:t>.</w:t>
      </w:r>
      <w:r w:rsidRPr="00107B76">
        <w:rPr>
          <w:color w:val="000000"/>
          <w:lang w:val="en-GB"/>
        </w:rPr>
        <w:t xml:space="preserve"> </w:t>
      </w:r>
      <w:r w:rsidRPr="00107B76">
        <w:rPr>
          <w:lang w:val="en-GB"/>
        </w:rPr>
        <w:t xml:space="preserve">Contacts </w:t>
      </w:r>
      <w:r w:rsidR="005323DD" w:rsidRPr="00107B76">
        <w:rPr>
          <w:lang w:val="en-GB"/>
        </w:rPr>
        <w:t xml:space="preserve">to </w:t>
      </w:r>
      <w:r w:rsidRPr="00107B76">
        <w:rPr>
          <w:lang w:val="en-GB"/>
        </w:rPr>
        <w:t>the Norway Grants group at MITA</w:t>
      </w:r>
      <w:r w:rsidR="00722EAF" w:rsidRPr="00107B76">
        <w:rPr>
          <w:lang w:val="en-GB"/>
        </w:rPr>
        <w:t>,</w:t>
      </w:r>
      <w:r w:rsidRPr="00107B76">
        <w:rPr>
          <w:lang w:val="en-GB"/>
        </w:rPr>
        <w:t xml:space="preserve"> who </w:t>
      </w:r>
      <w:r w:rsidR="005323DD" w:rsidRPr="00107B76">
        <w:rPr>
          <w:lang w:val="en-GB"/>
        </w:rPr>
        <w:t xml:space="preserve">is contact point and can be </w:t>
      </w:r>
      <w:r w:rsidRPr="00107B76">
        <w:rPr>
          <w:lang w:val="en-GB"/>
        </w:rPr>
        <w:t>consult</w:t>
      </w:r>
      <w:r w:rsidR="005323DD" w:rsidRPr="00107B76">
        <w:rPr>
          <w:lang w:val="en-GB"/>
        </w:rPr>
        <w:t>ed by</w:t>
      </w:r>
      <w:r w:rsidRPr="00107B76">
        <w:rPr>
          <w:lang w:val="en-GB"/>
        </w:rPr>
        <w:t xml:space="preserve"> Applicants</w:t>
      </w:r>
      <w:r w:rsidR="005323DD" w:rsidRPr="00107B76">
        <w:rPr>
          <w:lang w:val="en-GB"/>
        </w:rPr>
        <w:t>.</w:t>
      </w:r>
      <w:r w:rsidR="00CE0F7B" w:rsidRPr="00107B76">
        <w:rPr>
          <w:lang w:val="en-GB"/>
        </w:rPr>
        <w:t xml:space="preserve"> C</w:t>
      </w:r>
      <w:r w:rsidR="005323DD" w:rsidRPr="00107B76">
        <w:rPr>
          <w:lang w:val="en-GB"/>
        </w:rPr>
        <w:t xml:space="preserve">ontact details </w:t>
      </w:r>
      <w:r w:rsidRPr="00107B76">
        <w:rPr>
          <w:lang w:val="en-GB"/>
        </w:rPr>
        <w:t xml:space="preserve">are provided in the Call </w:t>
      </w:r>
      <w:r w:rsidR="00CE0F7B" w:rsidRPr="00107B76">
        <w:rPr>
          <w:lang w:val="en-GB"/>
        </w:rPr>
        <w:t xml:space="preserve">announcement </w:t>
      </w:r>
      <w:r w:rsidR="005323DD" w:rsidRPr="00107B76">
        <w:rPr>
          <w:lang w:val="en-GB"/>
        </w:rPr>
        <w:t>and</w:t>
      </w:r>
      <w:r w:rsidR="00CE0F7B" w:rsidRPr="00107B76">
        <w:rPr>
          <w:lang w:val="en-GB"/>
        </w:rPr>
        <w:t xml:space="preserve"> </w:t>
      </w:r>
      <w:r w:rsidRPr="00107B76">
        <w:rPr>
          <w:lang w:val="en-GB"/>
        </w:rPr>
        <w:t xml:space="preserve">published on the webpage </w:t>
      </w:r>
      <w:hyperlink r:id="rId16" w:history="1">
        <w:r w:rsidR="00E17F71" w:rsidRPr="00107B76">
          <w:rPr>
            <w:rStyle w:val="Hyperlink"/>
            <w:lang w:val="en-GB"/>
          </w:rPr>
          <w:t>www.norwaygrants.lt</w:t>
        </w:r>
      </w:hyperlink>
      <w:r w:rsidRPr="00107B76">
        <w:rPr>
          <w:lang w:val="en-GB"/>
        </w:rPr>
        <w:t xml:space="preserve"> and MITA webpage </w:t>
      </w:r>
      <w:hyperlink r:id="rId17" w:history="1">
        <w:r w:rsidRPr="00107B76">
          <w:rPr>
            <w:rStyle w:val="Hyperlink"/>
            <w:lang w:val="en-GB"/>
          </w:rPr>
          <w:t>www.lrv.mita.lt</w:t>
        </w:r>
      </w:hyperlink>
      <w:r w:rsidRPr="00107B76">
        <w:rPr>
          <w:lang w:val="en-GB"/>
        </w:rPr>
        <w:t>.</w:t>
      </w:r>
    </w:p>
    <w:p w14:paraId="57459549" w14:textId="77777777" w:rsidR="00CE0F7B" w:rsidRPr="00107B76" w:rsidRDefault="00F142D4"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MITA carries out </w:t>
      </w:r>
      <w:r w:rsidR="0038419D" w:rsidRPr="00107B76">
        <w:rPr>
          <w:lang w:val="en-GB"/>
        </w:rPr>
        <w:t>eligibility</w:t>
      </w:r>
      <w:r w:rsidRPr="00107B76">
        <w:rPr>
          <w:lang w:val="en-GB"/>
        </w:rPr>
        <w:t xml:space="preserve">, </w:t>
      </w:r>
      <w:r w:rsidR="004C19FE" w:rsidRPr="00107B76">
        <w:rPr>
          <w:lang w:val="en-GB"/>
        </w:rPr>
        <w:t>evaluation</w:t>
      </w:r>
      <w:r w:rsidRPr="00107B76">
        <w:rPr>
          <w:lang w:val="en-GB"/>
        </w:rPr>
        <w:t xml:space="preserve"> and administrative criteria assessment.</w:t>
      </w:r>
      <w:r w:rsidR="00603CE1" w:rsidRPr="00107B76">
        <w:rPr>
          <w:lang w:val="en-GB"/>
        </w:rPr>
        <w:t xml:space="preserve"> </w:t>
      </w:r>
    </w:p>
    <w:p w14:paraId="4381A359" w14:textId="77777777" w:rsidR="00347FE3" w:rsidRPr="00107B76" w:rsidRDefault="00090FB0"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During </w:t>
      </w:r>
      <w:r w:rsidR="00A02FB3" w:rsidRPr="00107B76">
        <w:rPr>
          <w:lang w:val="en-GB"/>
        </w:rPr>
        <w:t xml:space="preserve">eligibility </w:t>
      </w:r>
      <w:r w:rsidR="002C0045" w:rsidRPr="00107B76">
        <w:rPr>
          <w:lang w:val="en-GB"/>
        </w:rPr>
        <w:t>criteria</w:t>
      </w:r>
      <w:r w:rsidR="00A02FB3" w:rsidRPr="00107B76">
        <w:rPr>
          <w:lang w:val="en-GB"/>
        </w:rPr>
        <w:t xml:space="preserve"> asses</w:t>
      </w:r>
      <w:r w:rsidR="002C0045" w:rsidRPr="00107B76">
        <w:rPr>
          <w:lang w:val="en-GB"/>
        </w:rPr>
        <w:t>s</w:t>
      </w:r>
      <w:r w:rsidR="00A02FB3" w:rsidRPr="00107B76">
        <w:rPr>
          <w:lang w:val="en-GB"/>
        </w:rPr>
        <w:t xml:space="preserve">ment, </w:t>
      </w:r>
      <w:r w:rsidR="005B61A5" w:rsidRPr="00107B76">
        <w:rPr>
          <w:lang w:val="en-GB"/>
        </w:rPr>
        <w:t xml:space="preserve">project </w:t>
      </w:r>
      <w:r w:rsidR="00B01B68" w:rsidRPr="00107B76">
        <w:rPr>
          <w:lang w:val="en-GB"/>
        </w:rPr>
        <w:t>compli</w:t>
      </w:r>
      <w:r w:rsidR="002C0045" w:rsidRPr="00107B76">
        <w:rPr>
          <w:lang w:val="en-GB"/>
        </w:rPr>
        <w:t>ance</w:t>
      </w:r>
      <w:r w:rsidR="00B01B68" w:rsidRPr="00107B76">
        <w:rPr>
          <w:lang w:val="en-GB"/>
        </w:rPr>
        <w:t xml:space="preserve"> with </w:t>
      </w:r>
      <w:r w:rsidR="002826E8" w:rsidRPr="00107B76">
        <w:rPr>
          <w:lang w:val="en-GB"/>
        </w:rPr>
        <w:t xml:space="preserve">formal assessment criteria </w:t>
      </w:r>
      <w:r w:rsidR="002C0045" w:rsidRPr="00107B76">
        <w:rPr>
          <w:lang w:val="en-GB"/>
        </w:rPr>
        <w:t xml:space="preserve">and </w:t>
      </w:r>
      <w:r w:rsidR="0020400F" w:rsidRPr="00107B76">
        <w:rPr>
          <w:lang w:val="en-GB"/>
        </w:rPr>
        <w:t>specific selection criteria</w:t>
      </w:r>
      <w:r w:rsidR="005648E9" w:rsidRPr="00107B76">
        <w:rPr>
          <w:lang w:val="en-GB"/>
        </w:rPr>
        <w:t>, indicated in the Annex 1 of the Call</w:t>
      </w:r>
      <w:r w:rsidR="002C0045" w:rsidRPr="00107B76">
        <w:rPr>
          <w:lang w:val="en-GB"/>
        </w:rPr>
        <w:t xml:space="preserve">, will be </w:t>
      </w:r>
      <w:r w:rsidR="00E40DB0" w:rsidRPr="00107B76">
        <w:rPr>
          <w:lang w:val="en-GB"/>
        </w:rPr>
        <w:t xml:space="preserve">checked. </w:t>
      </w:r>
    </w:p>
    <w:p w14:paraId="22F76737" w14:textId="3705B4C3" w:rsidR="00347FE3" w:rsidRPr="00107B76" w:rsidRDefault="00347FE3"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During </w:t>
      </w:r>
      <w:r w:rsidR="00D03B3F" w:rsidRPr="00107B76">
        <w:rPr>
          <w:lang w:val="en-GB"/>
        </w:rPr>
        <w:t>asses</w:t>
      </w:r>
      <w:r w:rsidR="00E706C1" w:rsidRPr="00107B76">
        <w:rPr>
          <w:lang w:val="en-GB"/>
        </w:rPr>
        <w:t>s</w:t>
      </w:r>
      <w:r w:rsidR="00D03B3F" w:rsidRPr="00107B76">
        <w:rPr>
          <w:lang w:val="en-GB"/>
        </w:rPr>
        <w:t>ment</w:t>
      </w:r>
      <w:r w:rsidR="00FC507A" w:rsidRPr="00107B76">
        <w:rPr>
          <w:lang w:val="en-GB"/>
        </w:rPr>
        <w:t xml:space="preserve"> </w:t>
      </w:r>
      <w:r w:rsidR="00A3146C" w:rsidRPr="00107B76">
        <w:rPr>
          <w:lang w:val="en-GB"/>
        </w:rPr>
        <w:t xml:space="preserve">of </w:t>
      </w:r>
      <w:r w:rsidR="00FC507A" w:rsidRPr="00107B76">
        <w:rPr>
          <w:lang w:val="en-GB"/>
        </w:rPr>
        <w:t>evaluation</w:t>
      </w:r>
      <w:r w:rsidR="00A3146C" w:rsidRPr="00107B76">
        <w:rPr>
          <w:lang w:val="en-GB"/>
        </w:rPr>
        <w:t xml:space="preserve"> criteria</w:t>
      </w:r>
      <w:r w:rsidRPr="00107B76">
        <w:rPr>
          <w:lang w:val="en-GB"/>
        </w:rPr>
        <w:t xml:space="preserve">, projects will be rated by giving points </w:t>
      </w:r>
      <w:r w:rsidR="003B1063" w:rsidRPr="00107B76">
        <w:rPr>
          <w:lang w:val="en-GB"/>
        </w:rPr>
        <w:t>for the</w:t>
      </w:r>
      <w:r w:rsidRPr="00107B76">
        <w:rPr>
          <w:lang w:val="en-GB"/>
        </w:rPr>
        <w:t xml:space="preserve"> criteria specified in Annex </w:t>
      </w:r>
      <w:r w:rsidR="005D319C" w:rsidRPr="00107B76">
        <w:rPr>
          <w:lang w:val="en-GB"/>
        </w:rPr>
        <w:t>2</w:t>
      </w:r>
      <w:r w:rsidRPr="00107B76">
        <w:rPr>
          <w:lang w:val="en-GB"/>
        </w:rPr>
        <w:t xml:space="preserve"> to the Call. </w:t>
      </w:r>
    </w:p>
    <w:p w14:paraId="70F46C69" w14:textId="0B73ACDA" w:rsidR="00CE0F7B" w:rsidRPr="00107B76" w:rsidRDefault="00CE0F7B"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lastRenderedPageBreak/>
        <w:t>Administrative criteria assessment will be done in the final stage of evaluation process. Administrative criteria are provided in the Annex 3 to the Call.</w:t>
      </w:r>
    </w:p>
    <w:p w14:paraId="7ECC7314" w14:textId="26931022" w:rsidR="00B77FA9" w:rsidRPr="00107B76" w:rsidRDefault="00673B56" w:rsidP="00AE2ED8">
      <w:pPr>
        <w:pStyle w:val="ListParagraph"/>
        <w:numPr>
          <w:ilvl w:val="1"/>
          <w:numId w:val="3"/>
        </w:numPr>
        <w:tabs>
          <w:tab w:val="left" w:pos="851"/>
          <w:tab w:val="left" w:pos="993"/>
          <w:tab w:val="left" w:pos="1134"/>
        </w:tabs>
        <w:ind w:left="0" w:firstLine="709"/>
        <w:contextualSpacing w:val="0"/>
        <w:jc w:val="both"/>
        <w:rPr>
          <w:lang w:val="en-GB"/>
        </w:rPr>
      </w:pPr>
      <w:r w:rsidRPr="00107B76">
        <w:rPr>
          <w:lang w:val="en-GB"/>
        </w:rPr>
        <w:t>Assessment</w:t>
      </w:r>
      <w:r w:rsidR="00A3146C" w:rsidRPr="00107B76">
        <w:rPr>
          <w:lang w:val="en-GB"/>
        </w:rPr>
        <w:t xml:space="preserve"> of </w:t>
      </w:r>
      <w:r w:rsidR="00F34F8C" w:rsidRPr="00107B76">
        <w:rPr>
          <w:lang w:val="en-GB"/>
        </w:rPr>
        <w:t>selection</w:t>
      </w:r>
      <w:r w:rsidR="00A3146C" w:rsidRPr="00107B76">
        <w:rPr>
          <w:lang w:val="en-GB"/>
        </w:rPr>
        <w:t xml:space="preserve"> criteria</w:t>
      </w:r>
      <w:r w:rsidR="006B3F40" w:rsidRPr="00107B76">
        <w:rPr>
          <w:lang w:val="en-GB"/>
        </w:rPr>
        <w:t xml:space="preserve"> is organized following</w:t>
      </w:r>
      <w:r w:rsidR="00B218A4" w:rsidRPr="00107B76">
        <w:rPr>
          <w:lang w:val="en-GB"/>
        </w:rPr>
        <w:t xml:space="preserve"> the</w:t>
      </w:r>
      <w:r w:rsidR="006B3F40" w:rsidRPr="00107B76">
        <w:rPr>
          <w:lang w:val="en-GB"/>
        </w:rPr>
        <w:t xml:space="preserve"> provisions stipulated in the </w:t>
      </w:r>
      <w:r w:rsidR="00832A56" w:rsidRPr="00107B76">
        <w:rPr>
          <w:lang w:val="en-GB"/>
        </w:rPr>
        <w:t>Guidelines</w:t>
      </w:r>
      <w:r w:rsidR="006B3F40" w:rsidRPr="00107B76">
        <w:rPr>
          <w:lang w:val="en-GB"/>
        </w:rPr>
        <w:t xml:space="preserve"> on </w:t>
      </w:r>
      <w:r w:rsidR="0026424A" w:rsidRPr="00107B76">
        <w:rPr>
          <w:lang w:val="en-GB"/>
        </w:rPr>
        <w:t>O</w:t>
      </w:r>
      <w:r w:rsidR="006B3F40" w:rsidRPr="00107B76">
        <w:rPr>
          <w:lang w:val="en-GB"/>
        </w:rPr>
        <w:t xml:space="preserve">rganisation of </w:t>
      </w:r>
      <w:r w:rsidR="0026424A" w:rsidRPr="00107B76">
        <w:rPr>
          <w:lang w:val="en-GB"/>
        </w:rPr>
        <w:t>E</w:t>
      </w:r>
      <w:r w:rsidR="006B3F40" w:rsidRPr="00107B76">
        <w:rPr>
          <w:lang w:val="en-GB"/>
        </w:rPr>
        <w:t xml:space="preserve">xpert </w:t>
      </w:r>
      <w:r w:rsidR="0026424A" w:rsidRPr="00107B76">
        <w:rPr>
          <w:lang w:val="en-GB"/>
        </w:rPr>
        <w:t>E</w:t>
      </w:r>
      <w:r w:rsidR="006B3F40" w:rsidRPr="00107B76">
        <w:rPr>
          <w:lang w:val="en-GB"/>
        </w:rPr>
        <w:t>valuation in the Agency for Science, Innovation and Technology, approved by the Order of the Director of the Agency for Science, Innovation and Technology on 8 April 2011 No. 2V-27.</w:t>
      </w:r>
      <w:r w:rsidR="00C8427D" w:rsidRPr="00107B76">
        <w:rPr>
          <w:lang w:val="en-GB"/>
        </w:rPr>
        <w:t xml:space="preserve"> </w:t>
      </w:r>
      <w:r w:rsidR="009A4D7B" w:rsidRPr="00107B76">
        <w:rPr>
          <w:lang w:val="en-GB"/>
        </w:rPr>
        <w:t xml:space="preserve">Evaluation will be carried out by at least </w:t>
      </w:r>
      <w:r w:rsidR="00396EE7" w:rsidRPr="00107B76">
        <w:rPr>
          <w:lang w:val="en-GB"/>
        </w:rPr>
        <w:t>two independent experts</w:t>
      </w:r>
      <w:r w:rsidR="00F2036F" w:rsidRPr="00107B76">
        <w:rPr>
          <w:lang w:val="en-GB"/>
        </w:rPr>
        <w:t xml:space="preserve">. Experts </w:t>
      </w:r>
      <w:r w:rsidR="007D1B64" w:rsidRPr="00107B76">
        <w:rPr>
          <w:lang w:val="en-GB"/>
        </w:rPr>
        <w:t xml:space="preserve">evaluate </w:t>
      </w:r>
      <w:r w:rsidR="00473EEA" w:rsidRPr="00107B76">
        <w:rPr>
          <w:lang w:val="en-GB"/>
        </w:rPr>
        <w:t xml:space="preserve">an application in line with the </w:t>
      </w:r>
      <w:r w:rsidR="00F34F8C" w:rsidRPr="00107B76">
        <w:rPr>
          <w:lang w:val="en-GB"/>
        </w:rPr>
        <w:t xml:space="preserve">selection </w:t>
      </w:r>
      <w:r w:rsidR="00283546" w:rsidRPr="00107B76">
        <w:rPr>
          <w:lang w:val="en-GB"/>
        </w:rPr>
        <w:t xml:space="preserve">criteria </w:t>
      </w:r>
      <w:r w:rsidR="00A7011C" w:rsidRPr="00107B76">
        <w:rPr>
          <w:lang w:val="en-GB"/>
        </w:rPr>
        <w:t xml:space="preserve">provided in </w:t>
      </w:r>
      <w:r w:rsidR="00271D28" w:rsidRPr="00107B76">
        <w:rPr>
          <w:lang w:val="en-GB"/>
        </w:rPr>
        <w:t xml:space="preserve">the </w:t>
      </w:r>
      <w:r w:rsidR="00427417" w:rsidRPr="00107B76">
        <w:rPr>
          <w:lang w:val="en-GB"/>
        </w:rPr>
        <w:t xml:space="preserve">Annex 2 of the Call. </w:t>
      </w:r>
      <w:r w:rsidR="007D1B64" w:rsidRPr="00107B76">
        <w:rPr>
          <w:lang w:val="en-GB"/>
        </w:rPr>
        <w:t xml:space="preserve"> </w:t>
      </w:r>
    </w:p>
    <w:p w14:paraId="1A2D72D3" w14:textId="7B0524CA" w:rsidR="00B77FA9" w:rsidRPr="00107B76" w:rsidRDefault="00717398" w:rsidP="00AE2ED8">
      <w:pPr>
        <w:pStyle w:val="ListParagraph"/>
        <w:numPr>
          <w:ilvl w:val="1"/>
          <w:numId w:val="3"/>
        </w:numPr>
        <w:tabs>
          <w:tab w:val="left" w:pos="851"/>
          <w:tab w:val="left" w:pos="993"/>
          <w:tab w:val="left" w:pos="1134"/>
        </w:tabs>
        <w:ind w:left="0" w:firstLine="709"/>
        <w:contextualSpacing w:val="0"/>
        <w:jc w:val="both"/>
        <w:rPr>
          <w:lang w:val="en-GB"/>
        </w:rPr>
      </w:pPr>
      <w:r w:rsidRPr="00107B76">
        <w:rPr>
          <w:lang w:val="en-GB"/>
        </w:rPr>
        <w:t xml:space="preserve">An application can be awarded with </w:t>
      </w:r>
      <w:r w:rsidR="0048636F" w:rsidRPr="00107B76">
        <w:rPr>
          <w:lang w:val="en-GB"/>
        </w:rPr>
        <w:t>the</w:t>
      </w:r>
      <w:r w:rsidRPr="00107B76">
        <w:rPr>
          <w:lang w:val="en-GB"/>
        </w:rPr>
        <w:t xml:space="preserve"> maximum of 100 points. </w:t>
      </w:r>
      <w:r w:rsidR="0048636F" w:rsidRPr="00107B76">
        <w:rPr>
          <w:lang w:val="en-GB"/>
        </w:rPr>
        <w:t>The minimum</w:t>
      </w:r>
      <w:r w:rsidR="007129C7" w:rsidRPr="00107B76">
        <w:rPr>
          <w:lang w:val="en-GB"/>
        </w:rPr>
        <w:t xml:space="preserve"> amount of points </w:t>
      </w:r>
      <w:r w:rsidR="00236466" w:rsidRPr="00107B76">
        <w:rPr>
          <w:lang w:val="en-GB"/>
        </w:rPr>
        <w:t>under</w:t>
      </w:r>
      <w:r w:rsidR="007129C7" w:rsidRPr="00107B76">
        <w:rPr>
          <w:lang w:val="en-GB"/>
        </w:rPr>
        <w:t xml:space="preserve"> the Call is 25. </w:t>
      </w:r>
      <w:r w:rsidR="00765CE2" w:rsidRPr="00107B76">
        <w:rPr>
          <w:lang w:val="en-GB"/>
        </w:rPr>
        <w:t xml:space="preserve">Points </w:t>
      </w:r>
      <w:r w:rsidR="00052A0B" w:rsidRPr="00107B76">
        <w:rPr>
          <w:lang w:val="en-GB"/>
        </w:rPr>
        <w:t xml:space="preserve">awarded to a </w:t>
      </w:r>
      <w:r w:rsidR="005509F3" w:rsidRPr="00107B76">
        <w:rPr>
          <w:lang w:val="en-GB"/>
        </w:rPr>
        <w:t>project</w:t>
      </w:r>
      <w:r w:rsidR="00CD3AF1" w:rsidRPr="00107B76">
        <w:rPr>
          <w:lang w:val="en-GB"/>
        </w:rPr>
        <w:t xml:space="preserve"> are calculated as an aver</w:t>
      </w:r>
      <w:r w:rsidR="005509F3" w:rsidRPr="00107B76">
        <w:rPr>
          <w:lang w:val="en-GB"/>
        </w:rPr>
        <w:t xml:space="preserve">age </w:t>
      </w:r>
      <w:r w:rsidR="000B3767" w:rsidRPr="00107B76">
        <w:rPr>
          <w:lang w:val="en-GB"/>
        </w:rPr>
        <w:t xml:space="preserve">of points awarded by </w:t>
      </w:r>
      <w:r w:rsidR="00B73B06" w:rsidRPr="00107B76">
        <w:rPr>
          <w:lang w:val="en-GB"/>
        </w:rPr>
        <w:t xml:space="preserve">the </w:t>
      </w:r>
      <w:r w:rsidR="000B3767" w:rsidRPr="00107B76">
        <w:rPr>
          <w:lang w:val="en-GB"/>
        </w:rPr>
        <w:t>experts</w:t>
      </w:r>
      <w:r w:rsidR="00C63013" w:rsidRPr="00107B76">
        <w:rPr>
          <w:lang w:val="en-GB"/>
        </w:rPr>
        <w:t xml:space="preserve">. If the difference between the </w:t>
      </w:r>
      <w:r w:rsidR="004F2FCE" w:rsidRPr="00107B76">
        <w:rPr>
          <w:lang w:val="en-GB"/>
        </w:rPr>
        <w:t>points</w:t>
      </w:r>
      <w:r w:rsidR="00C63013" w:rsidRPr="00107B76">
        <w:rPr>
          <w:lang w:val="en-GB"/>
        </w:rPr>
        <w:t xml:space="preserve"> given by two experts is more </w:t>
      </w:r>
      <w:r w:rsidR="00CE0F7B" w:rsidRPr="00107B76">
        <w:rPr>
          <w:lang w:val="en-GB" w:eastAsia="en-US"/>
        </w:rPr>
        <w:t>than 30% of the higher score</w:t>
      </w:r>
      <w:r w:rsidR="00C63013" w:rsidRPr="00107B76">
        <w:rPr>
          <w:lang w:val="en-GB"/>
        </w:rPr>
        <w:t xml:space="preserve">, a third expert shall be commissioned by </w:t>
      </w:r>
      <w:r w:rsidR="004D27F4" w:rsidRPr="00107B76">
        <w:rPr>
          <w:lang w:val="en-GB"/>
        </w:rPr>
        <w:t>MITA</w:t>
      </w:r>
      <w:r w:rsidR="00C63013" w:rsidRPr="00107B76">
        <w:rPr>
          <w:lang w:val="en-GB"/>
        </w:rPr>
        <w:t xml:space="preserve"> to score the project independently. In such case</w:t>
      </w:r>
      <w:r w:rsidR="0048278F" w:rsidRPr="00107B76">
        <w:rPr>
          <w:lang w:val="en-GB"/>
        </w:rPr>
        <w:t>,</w:t>
      </w:r>
      <w:r w:rsidR="00C63013" w:rsidRPr="00107B76">
        <w:rPr>
          <w:lang w:val="en-GB"/>
        </w:rPr>
        <w:t xml:space="preserve"> </w:t>
      </w:r>
      <w:r w:rsidR="00E808F1" w:rsidRPr="00107B76">
        <w:rPr>
          <w:lang w:val="en-GB"/>
        </w:rPr>
        <w:t>an</w:t>
      </w:r>
      <w:r w:rsidR="00C63013" w:rsidRPr="00107B76">
        <w:rPr>
          <w:lang w:val="en-GB"/>
        </w:rPr>
        <w:t xml:space="preserve"> average score of two scores that were closest to each other shall be used </w:t>
      </w:r>
      <w:r w:rsidR="00847507" w:rsidRPr="00107B76">
        <w:rPr>
          <w:lang w:val="en-GB"/>
        </w:rPr>
        <w:t>as evaluation of</w:t>
      </w:r>
      <w:r w:rsidR="00EE32DF" w:rsidRPr="00107B76">
        <w:rPr>
          <w:lang w:val="en-GB"/>
        </w:rPr>
        <w:t xml:space="preserve"> the project</w:t>
      </w:r>
      <w:r w:rsidR="00C63013" w:rsidRPr="00107B76">
        <w:rPr>
          <w:lang w:val="en-GB"/>
        </w:rPr>
        <w:t>.</w:t>
      </w:r>
    </w:p>
    <w:p w14:paraId="4F4145A6" w14:textId="3958D9BA" w:rsidR="0017307F" w:rsidRPr="00107B76" w:rsidRDefault="0017307F"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Information about each evaluation stage shall be published on </w:t>
      </w:r>
      <w:hyperlink r:id="rId18" w:history="1">
        <w:r w:rsidR="00E17F71" w:rsidRPr="00107B76">
          <w:rPr>
            <w:rStyle w:val="Hyperlink"/>
            <w:lang w:val="en-GB"/>
          </w:rPr>
          <w:t>www.norwaygrants.lt</w:t>
        </w:r>
      </w:hyperlink>
      <w:r w:rsidRPr="00107B76">
        <w:rPr>
          <w:lang w:val="en-GB"/>
        </w:rPr>
        <w:t xml:space="preserve">, </w:t>
      </w:r>
      <w:r w:rsidR="00C7019C" w:rsidRPr="00107B76">
        <w:rPr>
          <w:lang w:val="en-GB"/>
        </w:rPr>
        <w:t xml:space="preserve">indicating the name of the Applicant and project, application unique number, </w:t>
      </w:r>
      <w:r w:rsidR="007D48D6" w:rsidRPr="00107B76">
        <w:rPr>
          <w:lang w:val="en-GB"/>
        </w:rPr>
        <w:t>the</w:t>
      </w:r>
      <w:r w:rsidR="00C7019C" w:rsidRPr="00107B76">
        <w:rPr>
          <w:lang w:val="en-GB"/>
        </w:rPr>
        <w:t xml:space="preserve"> amount of grant </w:t>
      </w:r>
      <w:r w:rsidR="00285F71" w:rsidRPr="00107B76">
        <w:rPr>
          <w:lang w:val="en-GB"/>
        </w:rPr>
        <w:t>from the Norway Grants and State funds</w:t>
      </w:r>
      <w:r w:rsidR="00C7019C" w:rsidRPr="00107B76">
        <w:rPr>
          <w:lang w:val="en-GB"/>
        </w:rPr>
        <w:t xml:space="preserve">.  </w:t>
      </w:r>
    </w:p>
    <w:p w14:paraId="3711CCEE" w14:textId="36849AF4" w:rsidR="0017307F" w:rsidRPr="00107B76" w:rsidRDefault="002E2290"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Applications</w:t>
      </w:r>
      <w:r w:rsidR="00F05451" w:rsidRPr="00107B76">
        <w:rPr>
          <w:lang w:val="en-GB"/>
        </w:rPr>
        <w:t xml:space="preserve"> </w:t>
      </w:r>
      <w:r w:rsidR="00BC414B" w:rsidRPr="00107B76">
        <w:rPr>
          <w:lang w:val="en-GB"/>
        </w:rPr>
        <w:t xml:space="preserve">are evaluated </w:t>
      </w:r>
      <w:r w:rsidR="00C45844" w:rsidRPr="00107B76">
        <w:rPr>
          <w:lang w:val="en-GB"/>
        </w:rPr>
        <w:t xml:space="preserve">no later than in </w:t>
      </w:r>
      <w:r w:rsidR="00D53383">
        <w:rPr>
          <w:lang w:val="en-GB"/>
        </w:rPr>
        <w:t>90 calendar days</w:t>
      </w:r>
      <w:r w:rsidR="00C45844" w:rsidRPr="00107B76">
        <w:rPr>
          <w:lang w:val="en-GB"/>
        </w:rPr>
        <w:t xml:space="preserve"> </w:t>
      </w:r>
      <w:r w:rsidR="00CE0F7B" w:rsidRPr="00107B76">
        <w:rPr>
          <w:lang w:val="en-GB"/>
        </w:rPr>
        <w:t>after the last day of submission of applications</w:t>
      </w:r>
      <w:r w:rsidR="005C5E2E" w:rsidRPr="00107B76">
        <w:rPr>
          <w:lang w:val="en-GB"/>
        </w:rPr>
        <w:t xml:space="preserve">, </w:t>
      </w:r>
      <w:r w:rsidR="00D42D6D" w:rsidRPr="00107B76">
        <w:rPr>
          <w:lang w:val="en-GB"/>
        </w:rPr>
        <w:t>which</w:t>
      </w:r>
      <w:r w:rsidR="005C5E2E" w:rsidRPr="00107B76">
        <w:rPr>
          <w:lang w:val="en-GB"/>
        </w:rPr>
        <w:t xml:space="preserve"> is indicated in </w:t>
      </w:r>
      <w:r w:rsidR="006A0470" w:rsidRPr="00107B76">
        <w:rPr>
          <w:lang w:val="en-GB"/>
        </w:rPr>
        <w:t>the Call</w:t>
      </w:r>
      <w:r w:rsidR="00F34F8C" w:rsidRPr="00107B76">
        <w:rPr>
          <w:lang w:val="en-GB"/>
        </w:rPr>
        <w:t xml:space="preserve"> announcement</w:t>
      </w:r>
      <w:r w:rsidR="006A0470" w:rsidRPr="00107B76">
        <w:rPr>
          <w:lang w:val="en-GB"/>
        </w:rPr>
        <w:t>.</w:t>
      </w:r>
    </w:p>
    <w:p w14:paraId="3C01CF99" w14:textId="6759C50D" w:rsidR="001127D8" w:rsidRPr="00D60494" w:rsidRDefault="006C52D8" w:rsidP="00AE2ED8">
      <w:pPr>
        <w:pStyle w:val="ListParagraph"/>
        <w:numPr>
          <w:ilvl w:val="0"/>
          <w:numId w:val="3"/>
        </w:numPr>
        <w:tabs>
          <w:tab w:val="left" w:pos="851"/>
          <w:tab w:val="left" w:pos="993"/>
          <w:tab w:val="left" w:pos="1134"/>
        </w:tabs>
        <w:ind w:left="0" w:firstLine="709"/>
        <w:contextualSpacing w:val="0"/>
        <w:jc w:val="both"/>
        <w:rPr>
          <w:lang w:val="en-GB"/>
        </w:rPr>
      </w:pPr>
      <w:r w:rsidRPr="00D60494">
        <w:rPr>
          <w:lang w:val="en-GB"/>
        </w:rPr>
        <w:t xml:space="preserve">During assessment of an application MITA can ask </w:t>
      </w:r>
      <w:r w:rsidR="0020774E" w:rsidRPr="00D60494">
        <w:rPr>
          <w:lang w:val="en-GB"/>
        </w:rPr>
        <w:t xml:space="preserve">an Applicant to submit missing </w:t>
      </w:r>
      <w:r w:rsidR="00950E44" w:rsidRPr="00D60494">
        <w:rPr>
          <w:lang w:val="en-GB"/>
        </w:rPr>
        <w:t>information or documents</w:t>
      </w:r>
      <w:r w:rsidR="009B57D6" w:rsidRPr="00D60494">
        <w:rPr>
          <w:lang w:val="en-GB"/>
        </w:rPr>
        <w:t>. A</w:t>
      </w:r>
      <w:r w:rsidR="00390E00" w:rsidRPr="00D60494">
        <w:rPr>
          <w:lang w:val="en-GB"/>
        </w:rPr>
        <w:t>n</w:t>
      </w:r>
      <w:r w:rsidR="009B57D6" w:rsidRPr="00D60494">
        <w:rPr>
          <w:lang w:val="en-GB"/>
        </w:rPr>
        <w:t xml:space="preserve"> Applican</w:t>
      </w:r>
      <w:r w:rsidR="00390E00" w:rsidRPr="00D60494">
        <w:rPr>
          <w:lang w:val="en-GB"/>
        </w:rPr>
        <w:t>t</w:t>
      </w:r>
      <w:r w:rsidR="009B57D6" w:rsidRPr="00D60494">
        <w:rPr>
          <w:lang w:val="en-GB"/>
        </w:rPr>
        <w:t xml:space="preserve"> has to submit </w:t>
      </w:r>
      <w:r w:rsidR="00883765" w:rsidRPr="00D60494">
        <w:rPr>
          <w:lang w:val="en-GB"/>
        </w:rPr>
        <w:t>missing</w:t>
      </w:r>
      <w:r w:rsidR="009B57D6" w:rsidRPr="00D60494">
        <w:rPr>
          <w:lang w:val="en-GB"/>
        </w:rPr>
        <w:t xml:space="preserve"> information or documents</w:t>
      </w:r>
      <w:r w:rsidR="00B26F85" w:rsidRPr="00D60494">
        <w:rPr>
          <w:lang w:val="en-GB"/>
        </w:rPr>
        <w:t xml:space="preserve"> via</w:t>
      </w:r>
      <w:r w:rsidR="00390E00" w:rsidRPr="00D60494">
        <w:rPr>
          <w:lang w:val="en-GB"/>
        </w:rPr>
        <w:t xml:space="preserve"> DMS</w:t>
      </w:r>
      <w:r w:rsidR="00B26F85" w:rsidRPr="00D60494">
        <w:rPr>
          <w:lang w:val="en-GB"/>
        </w:rPr>
        <w:t xml:space="preserve"> </w:t>
      </w:r>
      <w:r w:rsidR="00E17F71" w:rsidRPr="00D60494">
        <w:rPr>
          <w:lang w:val="en-GB"/>
        </w:rPr>
        <w:t>for Lithuanian applicant</w:t>
      </w:r>
      <w:r w:rsidR="001C33A6" w:rsidRPr="00D60494">
        <w:rPr>
          <w:lang w:val="en-GB"/>
        </w:rPr>
        <w:t>s</w:t>
      </w:r>
      <w:r w:rsidR="00E17F71" w:rsidRPr="00D60494">
        <w:rPr>
          <w:lang w:val="en-GB"/>
        </w:rPr>
        <w:t xml:space="preserve"> or </w:t>
      </w:r>
      <w:r w:rsidR="001C33A6" w:rsidRPr="00D60494">
        <w:rPr>
          <w:lang w:val="en-GB"/>
        </w:rPr>
        <w:t xml:space="preserve">via </w:t>
      </w:r>
      <w:r w:rsidR="006856B9" w:rsidRPr="00D60494">
        <w:rPr>
          <w:lang w:val="en-GB"/>
        </w:rPr>
        <w:t>the electronic syste</w:t>
      </w:r>
      <w:r w:rsidR="00FD549F" w:rsidRPr="00D60494">
        <w:rPr>
          <w:lang w:val="en-GB"/>
        </w:rPr>
        <w:t xml:space="preserve">m </w:t>
      </w:r>
      <w:r w:rsidR="00B650F8" w:rsidRPr="00D60494">
        <w:rPr>
          <w:lang w:val="en-GB"/>
        </w:rPr>
        <w:t>adm</w:t>
      </w:r>
      <w:r w:rsidR="00F00445" w:rsidRPr="00D60494">
        <w:rPr>
          <w:lang w:val="en-GB"/>
        </w:rPr>
        <w:t>inistered</w:t>
      </w:r>
      <w:r w:rsidR="00FD549F" w:rsidRPr="00D60494">
        <w:rPr>
          <w:lang w:val="en-GB"/>
        </w:rPr>
        <w:t xml:space="preserve"> by MITA, </w:t>
      </w:r>
      <w:r w:rsidR="00390E00" w:rsidRPr="00D60494">
        <w:rPr>
          <w:lang w:val="en-GB"/>
        </w:rPr>
        <w:t>by the deadline set by MITA.</w:t>
      </w:r>
      <w:r w:rsidR="00B26F85" w:rsidRPr="00D60494">
        <w:rPr>
          <w:lang w:val="en-GB"/>
        </w:rPr>
        <w:t xml:space="preserve"> </w:t>
      </w:r>
    </w:p>
    <w:p w14:paraId="153B50C9" w14:textId="76B58976" w:rsidR="00B26982" w:rsidRPr="00D60494" w:rsidRDefault="001127D8" w:rsidP="00AE2ED8">
      <w:pPr>
        <w:pStyle w:val="ListParagraph"/>
        <w:numPr>
          <w:ilvl w:val="0"/>
          <w:numId w:val="3"/>
        </w:numPr>
        <w:tabs>
          <w:tab w:val="left" w:pos="851"/>
          <w:tab w:val="left" w:pos="993"/>
          <w:tab w:val="left" w:pos="1134"/>
        </w:tabs>
        <w:ind w:left="0" w:firstLine="709"/>
        <w:contextualSpacing w:val="0"/>
        <w:jc w:val="both"/>
        <w:rPr>
          <w:lang w:val="en-GB"/>
        </w:rPr>
      </w:pPr>
      <w:r w:rsidRPr="00D60494">
        <w:rPr>
          <w:lang w:val="en-GB"/>
        </w:rPr>
        <w:t xml:space="preserve">An Application shall be rejected and not further evaluated if: </w:t>
      </w:r>
    </w:p>
    <w:p w14:paraId="3E8C1C92" w14:textId="77777777" w:rsidR="00C63BBF" w:rsidRPr="00D60494" w:rsidRDefault="0049450D" w:rsidP="00AE2ED8">
      <w:pPr>
        <w:pStyle w:val="ListParagraph"/>
        <w:numPr>
          <w:ilvl w:val="1"/>
          <w:numId w:val="3"/>
        </w:numPr>
        <w:tabs>
          <w:tab w:val="left" w:pos="851"/>
          <w:tab w:val="left" w:pos="993"/>
          <w:tab w:val="left" w:pos="1134"/>
        </w:tabs>
        <w:ind w:left="0" w:firstLine="709"/>
        <w:contextualSpacing w:val="0"/>
        <w:jc w:val="both"/>
        <w:rPr>
          <w:lang w:val="en-GB"/>
        </w:rPr>
      </w:pPr>
      <w:r w:rsidRPr="00D60494">
        <w:rPr>
          <w:lang w:val="en-GB"/>
        </w:rPr>
        <w:t>the same</w:t>
      </w:r>
      <w:r w:rsidR="005F2027" w:rsidRPr="00D60494">
        <w:rPr>
          <w:lang w:val="en-GB"/>
        </w:rPr>
        <w:t xml:space="preserve"> Applicant has submitted more than one application</w:t>
      </w:r>
      <w:r w:rsidRPr="00D60494">
        <w:rPr>
          <w:lang w:val="en-GB"/>
        </w:rPr>
        <w:t>;</w:t>
      </w:r>
    </w:p>
    <w:p w14:paraId="7E5CCBDF" w14:textId="46A681BA" w:rsidR="00C63BBF" w:rsidRPr="00D60494" w:rsidRDefault="00C63BBF" w:rsidP="00AE2ED8">
      <w:pPr>
        <w:pStyle w:val="ListParagraph"/>
        <w:numPr>
          <w:ilvl w:val="1"/>
          <w:numId w:val="3"/>
        </w:numPr>
        <w:tabs>
          <w:tab w:val="left" w:pos="851"/>
          <w:tab w:val="left" w:pos="993"/>
          <w:tab w:val="left" w:pos="1134"/>
        </w:tabs>
        <w:ind w:left="0" w:firstLine="709"/>
        <w:contextualSpacing w:val="0"/>
        <w:jc w:val="both"/>
        <w:rPr>
          <w:lang w:val="en-GB"/>
        </w:rPr>
      </w:pPr>
      <w:r w:rsidRPr="00D60494">
        <w:rPr>
          <w:lang w:val="en-GB"/>
        </w:rPr>
        <w:t xml:space="preserve">application does not comply with at least one </w:t>
      </w:r>
      <w:r w:rsidR="00EE39F9" w:rsidRPr="00D60494">
        <w:rPr>
          <w:lang w:val="en-GB"/>
        </w:rPr>
        <w:t xml:space="preserve">general </w:t>
      </w:r>
      <w:r w:rsidRPr="00D60494">
        <w:rPr>
          <w:lang w:val="en-GB"/>
        </w:rPr>
        <w:t>eligibility</w:t>
      </w:r>
      <w:r w:rsidR="00EE39F9" w:rsidRPr="00D60494">
        <w:rPr>
          <w:lang w:val="en-GB"/>
        </w:rPr>
        <w:t xml:space="preserve"> and</w:t>
      </w:r>
      <w:r w:rsidRPr="00D60494">
        <w:rPr>
          <w:lang w:val="en-GB"/>
        </w:rPr>
        <w:t xml:space="preserve"> </w:t>
      </w:r>
      <w:r w:rsidR="007E3402" w:rsidRPr="00D60494">
        <w:rPr>
          <w:lang w:val="en-GB"/>
        </w:rPr>
        <w:t xml:space="preserve">specific </w:t>
      </w:r>
      <w:r w:rsidR="000F2FB6" w:rsidRPr="00D60494">
        <w:rPr>
          <w:lang w:val="en-GB"/>
        </w:rPr>
        <w:t xml:space="preserve">compliance </w:t>
      </w:r>
      <w:r w:rsidR="007E3402" w:rsidRPr="00D60494">
        <w:rPr>
          <w:lang w:val="en-GB"/>
        </w:rPr>
        <w:t>criteria</w:t>
      </w:r>
      <w:r w:rsidR="001F6EDA" w:rsidRPr="00D60494">
        <w:rPr>
          <w:lang w:val="en-GB"/>
        </w:rPr>
        <w:t xml:space="preserve"> indicated in </w:t>
      </w:r>
      <w:r w:rsidR="006263F6" w:rsidRPr="00D60494">
        <w:rPr>
          <w:lang w:val="en-GB"/>
        </w:rPr>
        <w:t>Annex 1 of the Call</w:t>
      </w:r>
      <w:r w:rsidR="001A7E05" w:rsidRPr="00D60494">
        <w:rPr>
          <w:lang w:val="en-GB"/>
        </w:rPr>
        <w:t>;</w:t>
      </w:r>
    </w:p>
    <w:p w14:paraId="3B918318" w14:textId="4F1B9A59" w:rsidR="00667CB5" w:rsidRPr="00107B76" w:rsidRDefault="00283C76" w:rsidP="00AE2ED8">
      <w:pPr>
        <w:pStyle w:val="ListParagraph"/>
        <w:numPr>
          <w:ilvl w:val="1"/>
          <w:numId w:val="3"/>
        </w:numPr>
        <w:tabs>
          <w:tab w:val="left" w:pos="851"/>
          <w:tab w:val="left" w:pos="993"/>
          <w:tab w:val="left" w:pos="1134"/>
        </w:tabs>
        <w:ind w:left="0" w:firstLine="709"/>
        <w:contextualSpacing w:val="0"/>
        <w:jc w:val="both"/>
        <w:rPr>
          <w:lang w:val="en-GB"/>
        </w:rPr>
      </w:pPr>
      <w:r w:rsidRPr="00107B76">
        <w:rPr>
          <w:lang w:val="en-GB"/>
        </w:rPr>
        <w:t>an Applicant does not comply with at least one administrative criterion</w:t>
      </w:r>
      <w:r w:rsidR="001059F4" w:rsidRPr="00107B76">
        <w:rPr>
          <w:lang w:val="en-GB"/>
        </w:rPr>
        <w:t xml:space="preserve"> indicated in Annex 3 of the Call</w:t>
      </w:r>
      <w:r w:rsidR="00667CB5" w:rsidRPr="00107B76">
        <w:rPr>
          <w:lang w:val="en-GB"/>
        </w:rPr>
        <w:t>;</w:t>
      </w:r>
    </w:p>
    <w:p w14:paraId="39B132F4" w14:textId="77777777" w:rsidR="00DF6A69" w:rsidRDefault="00667CB5" w:rsidP="00DF6A69">
      <w:pPr>
        <w:pStyle w:val="ListParagraph"/>
        <w:numPr>
          <w:ilvl w:val="1"/>
          <w:numId w:val="3"/>
        </w:numPr>
        <w:tabs>
          <w:tab w:val="left" w:pos="851"/>
          <w:tab w:val="left" w:pos="993"/>
          <w:tab w:val="left" w:pos="1134"/>
        </w:tabs>
        <w:ind w:left="0" w:firstLine="709"/>
        <w:contextualSpacing w:val="0"/>
        <w:jc w:val="both"/>
        <w:rPr>
          <w:lang w:val="en-GB"/>
        </w:rPr>
      </w:pPr>
      <w:r w:rsidRPr="00107B76">
        <w:rPr>
          <w:lang w:val="en-GB"/>
        </w:rPr>
        <w:t xml:space="preserve">if an </w:t>
      </w:r>
      <w:r w:rsidR="00964372" w:rsidRPr="00107B76">
        <w:rPr>
          <w:lang w:val="en-GB"/>
        </w:rPr>
        <w:t>A</w:t>
      </w:r>
      <w:r w:rsidRPr="00107B76">
        <w:rPr>
          <w:lang w:val="en-GB"/>
        </w:rPr>
        <w:t xml:space="preserve">pplicant has provided misleading information in an application or an </w:t>
      </w:r>
      <w:r w:rsidR="00661CAE" w:rsidRPr="00107B76">
        <w:rPr>
          <w:lang w:val="en-GB"/>
        </w:rPr>
        <w:t>A</w:t>
      </w:r>
      <w:r w:rsidRPr="00107B76">
        <w:rPr>
          <w:lang w:val="en-GB"/>
        </w:rPr>
        <w:t xml:space="preserve">pplicant </w:t>
      </w:r>
      <w:r w:rsidR="00133823" w:rsidRPr="00107B76">
        <w:rPr>
          <w:lang w:val="en-GB"/>
        </w:rPr>
        <w:t>is</w:t>
      </w:r>
      <w:r w:rsidRPr="00107B76">
        <w:rPr>
          <w:lang w:val="en-GB"/>
        </w:rPr>
        <w:t xml:space="preserve"> seeking to illicitly influence evaluation results or evaluators</w:t>
      </w:r>
      <w:r w:rsidR="00900400" w:rsidRPr="00107B76">
        <w:rPr>
          <w:lang w:val="en-GB"/>
        </w:rPr>
        <w:t>;</w:t>
      </w:r>
    </w:p>
    <w:p w14:paraId="0A9EEEDD" w14:textId="4EF8CBD9" w:rsidR="00B62011" w:rsidRPr="00DF6A69" w:rsidRDefault="00C5002E" w:rsidP="00DF6A69">
      <w:pPr>
        <w:pStyle w:val="ListParagraph"/>
        <w:numPr>
          <w:ilvl w:val="1"/>
          <w:numId w:val="3"/>
        </w:numPr>
        <w:tabs>
          <w:tab w:val="left" w:pos="851"/>
          <w:tab w:val="left" w:pos="993"/>
          <w:tab w:val="left" w:pos="1134"/>
        </w:tabs>
        <w:ind w:left="0" w:firstLine="709"/>
        <w:contextualSpacing w:val="0"/>
        <w:jc w:val="both"/>
        <w:rPr>
          <w:lang w:val="en-GB"/>
        </w:rPr>
      </w:pPr>
      <w:r w:rsidRPr="00DF6A69">
        <w:rPr>
          <w:lang w:val="en-GB"/>
        </w:rPr>
        <w:t xml:space="preserve">if a project scores less than </w:t>
      </w:r>
      <w:r w:rsidR="00494595" w:rsidRPr="00DF6A69">
        <w:rPr>
          <w:lang w:val="en-GB"/>
        </w:rPr>
        <w:t xml:space="preserve">25 points during </w:t>
      </w:r>
      <w:r w:rsidR="008A681A" w:rsidRPr="00DF6A69">
        <w:rPr>
          <w:lang w:val="en-GB"/>
        </w:rPr>
        <w:t>assessment</w:t>
      </w:r>
      <w:r w:rsidR="00494595" w:rsidRPr="00DF6A69">
        <w:rPr>
          <w:lang w:val="en-GB"/>
        </w:rPr>
        <w:t xml:space="preserve"> of the </w:t>
      </w:r>
      <w:r w:rsidR="000F2FB6" w:rsidRPr="00DF6A69">
        <w:rPr>
          <w:lang w:val="en-GB"/>
        </w:rPr>
        <w:t>selection</w:t>
      </w:r>
      <w:r w:rsidR="00494595" w:rsidRPr="00DF6A69">
        <w:rPr>
          <w:lang w:val="en-GB"/>
        </w:rPr>
        <w:t xml:space="preserve"> criteria.</w:t>
      </w:r>
    </w:p>
    <w:p w14:paraId="5630F3D8" w14:textId="4D270D66" w:rsidR="001127D8" w:rsidRPr="00107B76" w:rsidRDefault="00CE0F7B"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MITA, based on the decision of the selection Committee, will make a decision on which projects shall be supported</w:t>
      </w:r>
      <w:r w:rsidR="001C33A6" w:rsidRPr="00107B76">
        <w:rPr>
          <w:lang w:val="en-GB"/>
        </w:rPr>
        <w:t>.</w:t>
      </w:r>
      <w:r w:rsidRPr="00107B76" w:rsidDel="00CE0F7B">
        <w:rPr>
          <w:lang w:val="en-GB"/>
        </w:rPr>
        <w:t xml:space="preserve"> </w:t>
      </w:r>
      <w:r w:rsidR="000D3C4B" w:rsidRPr="00107B76">
        <w:rPr>
          <w:lang w:val="en-GB"/>
        </w:rPr>
        <w:t xml:space="preserve">The decision is approved by the Director of </w:t>
      </w:r>
      <w:r w:rsidRPr="00107B76">
        <w:rPr>
          <w:lang w:val="en-GB"/>
        </w:rPr>
        <w:t>MITA</w:t>
      </w:r>
      <w:r w:rsidR="000D3C4B" w:rsidRPr="00107B76">
        <w:rPr>
          <w:lang w:val="en-GB"/>
        </w:rPr>
        <w:t>.</w:t>
      </w:r>
    </w:p>
    <w:p w14:paraId="07E2C7C9" w14:textId="4770D52F" w:rsidR="00D02455" w:rsidRPr="00107B76" w:rsidRDefault="00873E1E"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MITA publishes information on the EEA and Norway Grants webpages regarding the decision to finance </w:t>
      </w:r>
      <w:r w:rsidR="00955764" w:rsidRPr="00107B76">
        <w:rPr>
          <w:lang w:val="en-GB"/>
        </w:rPr>
        <w:t>a</w:t>
      </w:r>
      <w:r w:rsidRPr="00107B76">
        <w:rPr>
          <w:lang w:val="en-GB"/>
        </w:rPr>
        <w:t xml:space="preserve"> project not later than within 10 working days from the date the decision is made, indicating the name of the Applicant and project, application unique number, the amount of grant </w:t>
      </w:r>
      <w:r w:rsidR="00DF6A69">
        <w:rPr>
          <w:lang w:val="en-GB"/>
        </w:rPr>
        <w:t>from</w:t>
      </w:r>
      <w:r w:rsidR="00B0622C" w:rsidRPr="00107B76">
        <w:rPr>
          <w:lang w:val="en-GB"/>
        </w:rPr>
        <w:t xml:space="preserve"> the Norway Grants and State funds.</w:t>
      </w:r>
      <w:r w:rsidRPr="00107B76">
        <w:rPr>
          <w:lang w:val="en-GB"/>
        </w:rPr>
        <w:t xml:space="preserve">  </w:t>
      </w:r>
    </w:p>
    <w:p w14:paraId="52E5D727" w14:textId="2A14BE1A" w:rsidR="00D02455" w:rsidRPr="00107B76" w:rsidRDefault="00D02455"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MITA will conclude a </w:t>
      </w:r>
      <w:r w:rsidR="005709A8" w:rsidRPr="00107B76">
        <w:rPr>
          <w:lang w:val="en-GB"/>
        </w:rPr>
        <w:t>project contract</w:t>
      </w:r>
      <w:r w:rsidRPr="00107B76">
        <w:rPr>
          <w:lang w:val="en-GB"/>
        </w:rPr>
        <w:t xml:space="preserve"> with an Applicant whose project has been approved to be funded from</w:t>
      </w:r>
      <w:r w:rsidR="00D70298" w:rsidRPr="00107B76">
        <w:rPr>
          <w:lang w:val="en-GB"/>
        </w:rPr>
        <w:t xml:space="preserve"> the</w:t>
      </w:r>
      <w:r w:rsidRPr="00107B76">
        <w:rPr>
          <w:lang w:val="en-GB"/>
        </w:rPr>
        <w:t xml:space="preserve"> </w:t>
      </w:r>
      <w:r w:rsidR="008812E2" w:rsidRPr="00107B76">
        <w:rPr>
          <w:lang w:val="en-GB"/>
        </w:rPr>
        <w:t>Norway Grants and</w:t>
      </w:r>
      <w:r w:rsidRPr="00107B76">
        <w:rPr>
          <w:lang w:val="en-GB"/>
        </w:rPr>
        <w:t xml:space="preserve"> </w:t>
      </w:r>
      <w:r w:rsidR="00D70298" w:rsidRPr="00107B76">
        <w:rPr>
          <w:lang w:val="en-GB"/>
        </w:rPr>
        <w:t xml:space="preserve">State </w:t>
      </w:r>
      <w:r w:rsidR="008812E2" w:rsidRPr="00107B76">
        <w:rPr>
          <w:lang w:val="en-GB"/>
        </w:rPr>
        <w:t>funds</w:t>
      </w:r>
      <w:r w:rsidRPr="00107B76">
        <w:rPr>
          <w:lang w:val="en-GB"/>
        </w:rPr>
        <w:t xml:space="preserve">. </w:t>
      </w:r>
      <w:r w:rsidR="009D5E67" w:rsidRPr="00107B76">
        <w:rPr>
          <w:lang w:val="en-GB"/>
        </w:rPr>
        <w:t xml:space="preserve">MITA </w:t>
      </w:r>
      <w:r w:rsidR="00B22CFA" w:rsidRPr="00107B76">
        <w:rPr>
          <w:lang w:val="en-GB"/>
        </w:rPr>
        <w:t xml:space="preserve">prepares a </w:t>
      </w:r>
      <w:r w:rsidR="00B84A9D" w:rsidRPr="00107B76">
        <w:rPr>
          <w:lang w:val="en-GB"/>
        </w:rPr>
        <w:t xml:space="preserve">draft </w:t>
      </w:r>
      <w:r w:rsidR="00DC098C" w:rsidRPr="00107B76">
        <w:rPr>
          <w:lang w:val="en-GB"/>
        </w:rPr>
        <w:t>project contract</w:t>
      </w:r>
      <w:r w:rsidR="00B22CFA" w:rsidRPr="00107B76">
        <w:rPr>
          <w:lang w:val="en-GB"/>
        </w:rPr>
        <w:t xml:space="preserve"> </w:t>
      </w:r>
      <w:r w:rsidR="00CD5E6A" w:rsidRPr="00107B76">
        <w:rPr>
          <w:lang w:val="en-GB"/>
        </w:rPr>
        <w:t xml:space="preserve">and </w:t>
      </w:r>
      <w:r w:rsidR="00077BC5" w:rsidRPr="00107B76">
        <w:rPr>
          <w:lang w:val="en-GB"/>
        </w:rPr>
        <w:t xml:space="preserve">harmonises it with </w:t>
      </w:r>
      <w:r w:rsidR="005D2E57" w:rsidRPr="00107B76">
        <w:rPr>
          <w:lang w:val="en-GB"/>
        </w:rPr>
        <w:t xml:space="preserve">an Applicant. </w:t>
      </w:r>
      <w:r w:rsidR="007367E6" w:rsidRPr="00107B76">
        <w:rPr>
          <w:lang w:val="en-GB"/>
        </w:rPr>
        <w:t>A</w:t>
      </w:r>
      <w:r w:rsidR="000F2FB6" w:rsidRPr="00107B76">
        <w:rPr>
          <w:lang w:val="en-GB"/>
        </w:rPr>
        <w:t>n</w:t>
      </w:r>
      <w:r w:rsidR="007367E6" w:rsidRPr="00107B76">
        <w:rPr>
          <w:lang w:val="en-GB"/>
        </w:rPr>
        <w:t xml:space="preserve"> </w:t>
      </w:r>
      <w:r w:rsidR="000F2FB6" w:rsidRPr="00107B76">
        <w:rPr>
          <w:lang w:val="en-GB"/>
        </w:rPr>
        <w:t>Applicant</w:t>
      </w:r>
      <w:r w:rsidR="007367E6" w:rsidRPr="00107B76">
        <w:rPr>
          <w:lang w:val="en-GB"/>
        </w:rPr>
        <w:t xml:space="preserve"> shall provide </w:t>
      </w:r>
      <w:r w:rsidR="00025B2C" w:rsidRPr="00107B76">
        <w:rPr>
          <w:lang w:val="en-GB"/>
        </w:rPr>
        <w:t xml:space="preserve">comments regarding a draft </w:t>
      </w:r>
      <w:r w:rsidR="00DC098C" w:rsidRPr="00107B76">
        <w:rPr>
          <w:lang w:val="en-GB"/>
        </w:rPr>
        <w:t>project contract</w:t>
      </w:r>
      <w:r w:rsidR="00025B2C" w:rsidRPr="00107B76">
        <w:rPr>
          <w:lang w:val="en-GB"/>
        </w:rPr>
        <w:t xml:space="preserve"> not later than within </w:t>
      </w:r>
      <w:r w:rsidR="007A5729" w:rsidRPr="00107B76">
        <w:rPr>
          <w:lang w:val="en-GB"/>
        </w:rPr>
        <w:t xml:space="preserve">3 working days </w:t>
      </w:r>
      <w:r w:rsidR="00C53533" w:rsidRPr="00107B76">
        <w:rPr>
          <w:lang w:val="en-GB"/>
        </w:rPr>
        <w:t xml:space="preserve">upon </w:t>
      </w:r>
      <w:r w:rsidR="00290D86" w:rsidRPr="00107B76">
        <w:rPr>
          <w:lang w:val="en-GB"/>
        </w:rPr>
        <w:t>the date of receipt.</w:t>
      </w:r>
      <w:r w:rsidR="00C53533" w:rsidRPr="00107B76">
        <w:rPr>
          <w:lang w:val="en-GB"/>
        </w:rPr>
        <w:t xml:space="preserve"> </w:t>
      </w:r>
    </w:p>
    <w:p w14:paraId="23D3368D" w14:textId="77777777" w:rsidR="00230DB0" w:rsidRDefault="00DC098C" w:rsidP="00230DB0">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Project contract</w:t>
      </w:r>
      <w:r w:rsidR="00C6328D" w:rsidRPr="00107B76">
        <w:rPr>
          <w:lang w:val="en-GB"/>
        </w:rPr>
        <w:t xml:space="preserve"> consists of general and special conditions, as well as annexes. The agreement includes information on the amount of funds from the Norway Grants and </w:t>
      </w:r>
      <w:r w:rsidR="00D70298" w:rsidRPr="00107B76">
        <w:rPr>
          <w:lang w:val="en-GB"/>
        </w:rPr>
        <w:t>State funds</w:t>
      </w:r>
      <w:r w:rsidR="00C6328D" w:rsidRPr="00107B76">
        <w:rPr>
          <w:lang w:val="en-GB"/>
        </w:rPr>
        <w:t xml:space="preserve">, ratio of funding from the Norway Grants and </w:t>
      </w:r>
      <w:r w:rsidR="00D70298" w:rsidRPr="00107B76">
        <w:rPr>
          <w:lang w:val="en-GB"/>
        </w:rPr>
        <w:t>State funds</w:t>
      </w:r>
      <w:r w:rsidR="00C6328D" w:rsidRPr="00107B76">
        <w:rPr>
          <w:lang w:val="en-GB"/>
        </w:rPr>
        <w:t xml:space="preserve">, procedure on payment of funds from the Norway Grants and </w:t>
      </w:r>
      <w:r w:rsidR="00D70298" w:rsidRPr="00107B76">
        <w:rPr>
          <w:lang w:val="en-GB"/>
        </w:rPr>
        <w:t>State funds</w:t>
      </w:r>
      <w:r w:rsidR="00C6328D" w:rsidRPr="00107B76">
        <w:rPr>
          <w:lang w:val="en-GB"/>
        </w:rPr>
        <w:t>, all conditions for payment of funds f</w:t>
      </w:r>
      <w:r w:rsidR="00AE4388" w:rsidRPr="00107B76">
        <w:rPr>
          <w:lang w:val="en-GB"/>
        </w:rPr>
        <w:t>ro</w:t>
      </w:r>
      <w:r w:rsidR="00C6328D" w:rsidRPr="00107B76">
        <w:rPr>
          <w:lang w:val="en-GB"/>
        </w:rPr>
        <w:t xml:space="preserve">m the Norway Grants and </w:t>
      </w:r>
      <w:r w:rsidR="00D70298" w:rsidRPr="00107B76">
        <w:rPr>
          <w:lang w:val="en-GB"/>
        </w:rPr>
        <w:t>State funds</w:t>
      </w:r>
      <w:r w:rsidR="00C6328D" w:rsidRPr="00107B76">
        <w:rPr>
          <w:lang w:val="en-GB"/>
        </w:rPr>
        <w:t xml:space="preserve">, planned quantitative results, a list of eligible expenditure, dates for eligible expenditure, timetable for project implementation, publicity requirements, requirements for submission of documents on implementation of a project for institutions monitoring </w:t>
      </w:r>
      <w:r w:rsidR="00AE4388" w:rsidRPr="00107B76">
        <w:rPr>
          <w:lang w:val="en-GB"/>
        </w:rPr>
        <w:t xml:space="preserve">the </w:t>
      </w:r>
      <w:r w:rsidR="00C6328D" w:rsidRPr="00107B76">
        <w:rPr>
          <w:lang w:val="en-GB"/>
        </w:rPr>
        <w:t xml:space="preserve">EEA and Norway Grants and </w:t>
      </w:r>
      <w:r w:rsidR="00D70298" w:rsidRPr="00107B76">
        <w:rPr>
          <w:lang w:val="en-GB"/>
        </w:rPr>
        <w:t>State funds</w:t>
      </w:r>
      <w:r w:rsidR="00C6328D" w:rsidRPr="00107B76">
        <w:rPr>
          <w:lang w:val="en-GB"/>
        </w:rPr>
        <w:t xml:space="preserve"> and requirements for their storage, conditions and procedure on amending an agreement, suspension of funding and return of </w:t>
      </w:r>
      <w:r w:rsidR="00C325EF" w:rsidRPr="00107B76">
        <w:rPr>
          <w:lang w:val="en-GB"/>
        </w:rPr>
        <w:t>f</w:t>
      </w:r>
      <w:r w:rsidR="00FF2A20" w:rsidRPr="00107B76">
        <w:rPr>
          <w:lang w:val="en-GB"/>
        </w:rPr>
        <w:t>unding</w:t>
      </w:r>
      <w:r w:rsidR="00C6328D" w:rsidRPr="00107B76">
        <w:rPr>
          <w:lang w:val="en-GB"/>
        </w:rPr>
        <w:t xml:space="preserve"> in case a Projec</w:t>
      </w:r>
      <w:r w:rsidR="00AE4388" w:rsidRPr="00107B76">
        <w:rPr>
          <w:lang w:val="en-GB"/>
        </w:rPr>
        <w:t>t</w:t>
      </w:r>
      <w:r w:rsidR="00C6328D" w:rsidRPr="00107B76">
        <w:rPr>
          <w:lang w:val="en-GB"/>
        </w:rPr>
        <w:t xml:space="preserve"> </w:t>
      </w:r>
      <w:r w:rsidR="00AE4388" w:rsidRPr="00107B76">
        <w:rPr>
          <w:lang w:val="en-GB"/>
        </w:rPr>
        <w:t>P</w:t>
      </w:r>
      <w:r w:rsidR="00C6328D" w:rsidRPr="00107B76">
        <w:rPr>
          <w:lang w:val="en-GB"/>
        </w:rPr>
        <w:t xml:space="preserve">romoter </w:t>
      </w:r>
      <w:r w:rsidR="00C6328D" w:rsidRPr="00107B76">
        <w:rPr>
          <w:lang w:val="en-GB"/>
        </w:rPr>
        <w:lastRenderedPageBreak/>
        <w:t xml:space="preserve">violates conditions on payment of a </w:t>
      </w:r>
      <w:r w:rsidR="00FF2A20" w:rsidRPr="00107B76">
        <w:rPr>
          <w:lang w:val="en-GB"/>
        </w:rPr>
        <w:t>grant</w:t>
      </w:r>
      <w:r w:rsidR="00C6328D" w:rsidRPr="00107B76">
        <w:rPr>
          <w:lang w:val="en-GB"/>
        </w:rPr>
        <w:t>, procedure on submitting information for monitoring institutions, requirements on continuity of a project and other provisions.</w:t>
      </w:r>
    </w:p>
    <w:p w14:paraId="734392EF" w14:textId="3E0A14F8" w:rsidR="0053326E" w:rsidRPr="00230DB0" w:rsidRDefault="00F66963" w:rsidP="00230DB0">
      <w:pPr>
        <w:pStyle w:val="ListParagraph"/>
        <w:numPr>
          <w:ilvl w:val="0"/>
          <w:numId w:val="3"/>
        </w:numPr>
        <w:tabs>
          <w:tab w:val="left" w:pos="851"/>
          <w:tab w:val="left" w:pos="993"/>
          <w:tab w:val="left" w:pos="1134"/>
        </w:tabs>
        <w:ind w:left="0" w:firstLine="709"/>
        <w:contextualSpacing w:val="0"/>
        <w:jc w:val="both"/>
        <w:rPr>
          <w:lang w:val="en-GB"/>
        </w:rPr>
      </w:pPr>
      <w:r w:rsidRPr="00230DB0">
        <w:rPr>
          <w:lang w:val="en-GB"/>
        </w:rPr>
        <w:t>In case a project</w:t>
      </w:r>
      <w:r w:rsidR="0053326E" w:rsidRPr="00230DB0">
        <w:rPr>
          <w:lang w:val="en-GB"/>
        </w:rPr>
        <w:t xml:space="preserve"> is </w:t>
      </w:r>
      <w:r w:rsidRPr="00230DB0">
        <w:rPr>
          <w:lang w:val="en-GB"/>
        </w:rPr>
        <w:t>implemented</w:t>
      </w:r>
      <w:r w:rsidR="0053326E" w:rsidRPr="00230DB0">
        <w:rPr>
          <w:lang w:val="en-GB"/>
        </w:rPr>
        <w:t xml:space="preserve"> together with </w:t>
      </w:r>
      <w:r w:rsidR="002F361C" w:rsidRPr="00230DB0">
        <w:rPr>
          <w:lang w:val="en-GB"/>
        </w:rPr>
        <w:t xml:space="preserve">partners, </w:t>
      </w:r>
      <w:r w:rsidR="00E236E2" w:rsidRPr="00230DB0">
        <w:rPr>
          <w:lang w:val="en-GB"/>
        </w:rPr>
        <w:t xml:space="preserve">a Project Promoter </w:t>
      </w:r>
      <w:r w:rsidRPr="00230DB0">
        <w:rPr>
          <w:lang w:val="en-GB"/>
        </w:rPr>
        <w:t>represents</w:t>
      </w:r>
      <w:r w:rsidR="00E236E2" w:rsidRPr="00230DB0">
        <w:rPr>
          <w:lang w:val="en-GB"/>
        </w:rPr>
        <w:t xml:space="preserve"> all the partners </w:t>
      </w:r>
      <w:r w:rsidR="00CE20B3" w:rsidRPr="00230DB0">
        <w:rPr>
          <w:lang w:val="en-GB"/>
        </w:rPr>
        <w:t xml:space="preserve">as far as </w:t>
      </w:r>
      <w:r w:rsidR="00F27A30" w:rsidRPr="00230DB0">
        <w:rPr>
          <w:lang w:val="en-GB"/>
        </w:rPr>
        <w:t xml:space="preserve">implementation of the project and </w:t>
      </w:r>
      <w:r w:rsidR="0066559F" w:rsidRPr="00230DB0">
        <w:rPr>
          <w:lang w:val="en-GB"/>
        </w:rPr>
        <w:t xml:space="preserve">execution of a </w:t>
      </w:r>
      <w:r w:rsidR="00DC098C" w:rsidRPr="00230DB0">
        <w:rPr>
          <w:lang w:val="en-GB"/>
        </w:rPr>
        <w:t>projects contract</w:t>
      </w:r>
      <w:r w:rsidR="0066559F" w:rsidRPr="00230DB0">
        <w:rPr>
          <w:lang w:val="en-GB"/>
        </w:rPr>
        <w:t xml:space="preserve"> is concerned</w:t>
      </w:r>
      <w:r w:rsidR="0093235C" w:rsidRPr="00230DB0">
        <w:rPr>
          <w:lang w:val="en-GB"/>
        </w:rPr>
        <w:t xml:space="preserve"> and has to ensure that </w:t>
      </w:r>
      <w:r w:rsidR="00AE0E7D" w:rsidRPr="00230DB0">
        <w:rPr>
          <w:lang w:val="en-GB"/>
        </w:rPr>
        <w:t>that partners are duly informed</w:t>
      </w:r>
      <w:r w:rsidR="006439DA" w:rsidRPr="00230DB0">
        <w:rPr>
          <w:lang w:val="en-GB"/>
        </w:rPr>
        <w:t xml:space="preserve"> about their obligations</w:t>
      </w:r>
      <w:r w:rsidR="00190B51" w:rsidRPr="00230DB0">
        <w:rPr>
          <w:lang w:val="en-GB"/>
        </w:rPr>
        <w:t xml:space="preserve">, </w:t>
      </w:r>
      <w:r w:rsidR="001F60EB" w:rsidRPr="00230DB0">
        <w:rPr>
          <w:lang w:val="en-GB"/>
        </w:rPr>
        <w:t xml:space="preserve">which are indicated in a </w:t>
      </w:r>
      <w:r w:rsidR="00DC098C" w:rsidRPr="00230DB0">
        <w:rPr>
          <w:lang w:val="en-GB"/>
        </w:rPr>
        <w:t>projects contract</w:t>
      </w:r>
      <w:r w:rsidR="001F60EB" w:rsidRPr="00230DB0">
        <w:rPr>
          <w:lang w:val="en-GB"/>
        </w:rPr>
        <w:t xml:space="preserve">, </w:t>
      </w:r>
      <w:r w:rsidR="002103AE" w:rsidRPr="00230DB0">
        <w:rPr>
          <w:lang w:val="en-GB"/>
        </w:rPr>
        <w:t xml:space="preserve">the Call and </w:t>
      </w:r>
      <w:r w:rsidR="00832A56" w:rsidRPr="00230DB0">
        <w:rPr>
          <w:lang w:val="en-GB"/>
        </w:rPr>
        <w:t>the National Rules</w:t>
      </w:r>
      <w:r w:rsidR="00E91379" w:rsidRPr="00230DB0">
        <w:rPr>
          <w:lang w:val="en-GB"/>
        </w:rPr>
        <w:t xml:space="preserve">. </w:t>
      </w:r>
      <w:r w:rsidR="00DB0C38" w:rsidRPr="00230DB0">
        <w:rPr>
          <w:lang w:val="en-GB"/>
        </w:rPr>
        <w:t xml:space="preserve">A </w:t>
      </w:r>
      <w:r w:rsidR="00AE4388" w:rsidRPr="00230DB0">
        <w:rPr>
          <w:lang w:val="en-GB"/>
        </w:rPr>
        <w:t>P</w:t>
      </w:r>
      <w:r w:rsidR="00DB0C38" w:rsidRPr="00230DB0">
        <w:rPr>
          <w:lang w:val="en-GB"/>
        </w:rPr>
        <w:t xml:space="preserve">roject Promoter </w:t>
      </w:r>
      <w:r w:rsidR="00C73967" w:rsidRPr="00230DB0">
        <w:rPr>
          <w:lang w:val="en-GB"/>
        </w:rPr>
        <w:t xml:space="preserve">and partners have to sign </w:t>
      </w:r>
      <w:r w:rsidR="00BA317C" w:rsidRPr="00230DB0">
        <w:rPr>
          <w:lang w:val="en-GB"/>
        </w:rPr>
        <w:t xml:space="preserve">a Partnership Agreement </w:t>
      </w:r>
      <w:r w:rsidR="005434F7" w:rsidRPr="00230DB0">
        <w:rPr>
          <w:lang w:val="en-GB"/>
        </w:rPr>
        <w:t xml:space="preserve">prior to the </w:t>
      </w:r>
      <w:r w:rsidR="00AE4388" w:rsidRPr="00230DB0">
        <w:rPr>
          <w:lang w:val="en-GB"/>
        </w:rPr>
        <w:t>date on</w:t>
      </w:r>
      <w:r w:rsidR="009E5790" w:rsidRPr="00230DB0">
        <w:rPr>
          <w:lang w:val="en-GB"/>
        </w:rPr>
        <w:t xml:space="preserve"> which a </w:t>
      </w:r>
      <w:r w:rsidR="00DC098C" w:rsidRPr="00230DB0">
        <w:rPr>
          <w:lang w:val="en-GB"/>
        </w:rPr>
        <w:t>projects contract</w:t>
      </w:r>
      <w:r w:rsidR="009E5790" w:rsidRPr="00230DB0">
        <w:rPr>
          <w:lang w:val="en-GB"/>
        </w:rPr>
        <w:t xml:space="preserve"> is signed. </w:t>
      </w:r>
    </w:p>
    <w:p w14:paraId="51901868" w14:textId="4FD231DD" w:rsidR="007E3518" w:rsidRPr="00107B76" w:rsidRDefault="001A064F"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 xml:space="preserve">If an </w:t>
      </w:r>
      <w:r w:rsidR="00AE4388" w:rsidRPr="00107B76">
        <w:rPr>
          <w:lang w:val="en-GB"/>
        </w:rPr>
        <w:t>A</w:t>
      </w:r>
      <w:r w:rsidRPr="00107B76">
        <w:rPr>
          <w:lang w:val="en-GB"/>
        </w:rPr>
        <w:t>pplicant rejects to sign a</w:t>
      </w:r>
      <w:r w:rsidR="00BC1480" w:rsidRPr="00107B76">
        <w:rPr>
          <w:lang w:val="en-GB"/>
        </w:rPr>
        <w:t xml:space="preserve"> </w:t>
      </w:r>
      <w:r w:rsidR="00DC098C" w:rsidRPr="00107B76">
        <w:rPr>
          <w:lang w:val="en-GB"/>
        </w:rPr>
        <w:t>projects contract</w:t>
      </w:r>
      <w:r w:rsidRPr="00107B76">
        <w:rPr>
          <w:lang w:val="en-GB"/>
        </w:rPr>
        <w:t xml:space="preserve"> or fails to sign it </w:t>
      </w:r>
      <w:r w:rsidR="00D326BE" w:rsidRPr="00107B76">
        <w:rPr>
          <w:lang w:val="en-GB"/>
        </w:rPr>
        <w:t xml:space="preserve">within 10 working days </w:t>
      </w:r>
      <w:r w:rsidR="00624323" w:rsidRPr="00107B76">
        <w:rPr>
          <w:lang w:val="en-GB"/>
        </w:rPr>
        <w:t xml:space="preserve">from the </w:t>
      </w:r>
      <w:r w:rsidR="00FA17E4" w:rsidRPr="00107B76">
        <w:rPr>
          <w:lang w:val="en-GB"/>
        </w:rPr>
        <w:t xml:space="preserve">date </w:t>
      </w:r>
      <w:r w:rsidR="00AE4388" w:rsidRPr="00107B76">
        <w:rPr>
          <w:lang w:val="en-GB"/>
        </w:rPr>
        <w:t xml:space="preserve">on which he </w:t>
      </w:r>
      <w:r w:rsidR="00EA06BB" w:rsidRPr="00107B76">
        <w:rPr>
          <w:lang w:val="en-GB"/>
        </w:rPr>
        <w:t xml:space="preserve">is informed about </w:t>
      </w:r>
      <w:r w:rsidR="00B72EE9" w:rsidRPr="00107B76">
        <w:rPr>
          <w:lang w:val="en-GB"/>
        </w:rPr>
        <w:t>signi</w:t>
      </w:r>
      <w:r w:rsidR="00E07293" w:rsidRPr="00107B76">
        <w:rPr>
          <w:lang w:val="en-GB"/>
        </w:rPr>
        <w:t xml:space="preserve">ng </w:t>
      </w:r>
      <w:r w:rsidR="00AE4388" w:rsidRPr="00107B76">
        <w:rPr>
          <w:lang w:val="en-GB"/>
        </w:rPr>
        <w:t xml:space="preserve">of </w:t>
      </w:r>
      <w:r w:rsidR="00E07293" w:rsidRPr="00107B76">
        <w:rPr>
          <w:lang w:val="en-GB"/>
        </w:rPr>
        <w:t>an agreement</w:t>
      </w:r>
      <w:r w:rsidR="00EF0E07" w:rsidRPr="00107B76">
        <w:rPr>
          <w:lang w:val="en-GB"/>
        </w:rPr>
        <w:t xml:space="preserve"> or by the set deadline does not </w:t>
      </w:r>
      <w:proofErr w:type="spellStart"/>
      <w:r w:rsidR="00EF0E07" w:rsidRPr="00107B76">
        <w:rPr>
          <w:lang w:val="en-GB"/>
        </w:rPr>
        <w:t>fulfill</w:t>
      </w:r>
      <w:proofErr w:type="spellEnd"/>
      <w:r w:rsidR="00EF0E07" w:rsidRPr="00107B76">
        <w:rPr>
          <w:lang w:val="en-GB"/>
        </w:rPr>
        <w:t xml:space="preserve"> conditions which are to be fulfilled prior to signing an agreement</w:t>
      </w:r>
      <w:r w:rsidR="006F4F38" w:rsidRPr="00107B76">
        <w:rPr>
          <w:lang w:val="en-GB"/>
        </w:rPr>
        <w:t xml:space="preserve">, </w:t>
      </w:r>
      <w:r w:rsidR="00505936" w:rsidRPr="00107B76">
        <w:rPr>
          <w:lang w:val="en-GB"/>
        </w:rPr>
        <w:t>it will be deemed as a refusal to sign an agreement.</w:t>
      </w:r>
    </w:p>
    <w:p w14:paraId="3FBB0FFF" w14:textId="3F2B8A88" w:rsidR="00366B15" w:rsidRPr="00107B76" w:rsidRDefault="00DC098C" w:rsidP="00AE2ED8">
      <w:pPr>
        <w:pStyle w:val="ListParagraph"/>
        <w:numPr>
          <w:ilvl w:val="0"/>
          <w:numId w:val="3"/>
        </w:numPr>
        <w:tabs>
          <w:tab w:val="left" w:pos="851"/>
          <w:tab w:val="left" w:pos="993"/>
          <w:tab w:val="left" w:pos="1134"/>
        </w:tabs>
        <w:ind w:left="0" w:firstLine="709"/>
        <w:contextualSpacing w:val="0"/>
        <w:jc w:val="both"/>
        <w:rPr>
          <w:lang w:val="en-GB"/>
        </w:rPr>
      </w:pPr>
      <w:r w:rsidRPr="00107B76">
        <w:rPr>
          <w:lang w:val="en-GB"/>
        </w:rPr>
        <w:t>Projects contract</w:t>
      </w:r>
      <w:r w:rsidR="00366B15" w:rsidRPr="00107B76">
        <w:rPr>
          <w:rFonts w:eastAsia="Calibri"/>
          <w:lang w:val="en-GB"/>
        </w:rPr>
        <w:t xml:space="preserve"> is concluded, amended and terminated following provisions stated in Chapter </w:t>
      </w:r>
      <w:r w:rsidR="00AE4388" w:rsidRPr="00107B76">
        <w:rPr>
          <w:rFonts w:eastAsia="Calibri"/>
          <w:lang w:val="en-GB"/>
        </w:rPr>
        <w:t>X</w:t>
      </w:r>
      <w:r w:rsidR="0055516D" w:rsidRPr="00107B76">
        <w:rPr>
          <w:rFonts w:eastAsia="Calibri"/>
          <w:lang w:val="en-GB"/>
        </w:rPr>
        <w:t>VII</w:t>
      </w:r>
      <w:r w:rsidR="00366B15" w:rsidRPr="00107B76">
        <w:rPr>
          <w:rFonts w:eastAsia="Calibri"/>
          <w:lang w:val="en-GB"/>
        </w:rPr>
        <w:t xml:space="preserve"> of </w:t>
      </w:r>
      <w:r w:rsidR="00832A56" w:rsidRPr="00107B76">
        <w:rPr>
          <w:rFonts w:eastAsia="Calibri"/>
          <w:lang w:val="en-GB"/>
        </w:rPr>
        <w:t>the National Rules</w:t>
      </w:r>
      <w:r w:rsidR="00366B15" w:rsidRPr="00107B76">
        <w:rPr>
          <w:rFonts w:eastAsia="Calibri"/>
          <w:lang w:val="en-GB"/>
        </w:rPr>
        <w:t xml:space="preserve">. </w:t>
      </w:r>
    </w:p>
    <w:p w14:paraId="04BA4FEF" w14:textId="0DEAE791" w:rsidR="00C5291F" w:rsidRPr="00107B76" w:rsidRDefault="00C5291F" w:rsidP="004C0A76">
      <w:pPr>
        <w:tabs>
          <w:tab w:val="left" w:pos="851"/>
          <w:tab w:val="left" w:pos="993"/>
          <w:tab w:val="left" w:pos="1134"/>
        </w:tabs>
        <w:jc w:val="both"/>
        <w:rPr>
          <w:lang w:val="en-GB"/>
        </w:rPr>
      </w:pPr>
    </w:p>
    <w:p w14:paraId="01B77E34" w14:textId="21799510" w:rsidR="00453810" w:rsidRPr="00107B76" w:rsidRDefault="006E675A" w:rsidP="004C0A76">
      <w:pPr>
        <w:jc w:val="center"/>
        <w:rPr>
          <w:b/>
          <w:bCs/>
          <w:color w:val="000000"/>
          <w:lang w:val="en-GB"/>
        </w:rPr>
      </w:pPr>
      <w:r w:rsidRPr="00107B76">
        <w:rPr>
          <w:b/>
          <w:bCs/>
          <w:color w:val="000000"/>
          <w:lang w:val="en-GB"/>
        </w:rPr>
        <w:t>Chapter 6</w:t>
      </w:r>
    </w:p>
    <w:p w14:paraId="77714D94" w14:textId="3777BD57" w:rsidR="00453810" w:rsidRPr="00107B76" w:rsidRDefault="006E675A" w:rsidP="004C0A76">
      <w:pPr>
        <w:jc w:val="center"/>
        <w:rPr>
          <w:b/>
          <w:bCs/>
          <w:color w:val="000000"/>
          <w:lang w:val="en-GB"/>
        </w:rPr>
      </w:pPr>
      <w:r w:rsidRPr="00107B76">
        <w:rPr>
          <w:b/>
          <w:bCs/>
          <w:color w:val="000000"/>
          <w:lang w:val="en-GB"/>
        </w:rPr>
        <w:t xml:space="preserve">REQUIREMENTS </w:t>
      </w:r>
      <w:r w:rsidR="000F5436" w:rsidRPr="00107B76">
        <w:rPr>
          <w:b/>
          <w:bCs/>
          <w:color w:val="000000"/>
          <w:lang w:val="en-GB"/>
        </w:rPr>
        <w:t>FOR</w:t>
      </w:r>
      <w:r w:rsidRPr="00107B76">
        <w:rPr>
          <w:b/>
          <w:bCs/>
          <w:color w:val="000000"/>
          <w:lang w:val="en-GB"/>
        </w:rPr>
        <w:t xml:space="preserve"> PROJECT IMPLEMENTATION</w:t>
      </w:r>
    </w:p>
    <w:p w14:paraId="07C26837" w14:textId="77777777" w:rsidR="00C5291F" w:rsidRPr="00107B76" w:rsidRDefault="00C5291F" w:rsidP="004C0A76">
      <w:pPr>
        <w:tabs>
          <w:tab w:val="left" w:pos="851"/>
          <w:tab w:val="left" w:pos="993"/>
          <w:tab w:val="left" w:pos="1134"/>
        </w:tabs>
        <w:jc w:val="both"/>
        <w:rPr>
          <w:lang w:val="en-GB"/>
        </w:rPr>
      </w:pPr>
    </w:p>
    <w:p w14:paraId="5E0A00A6" w14:textId="77777777" w:rsidR="00E02E9F" w:rsidRDefault="00984F55" w:rsidP="00E02E9F">
      <w:pPr>
        <w:pStyle w:val="ListParagraph"/>
        <w:numPr>
          <w:ilvl w:val="0"/>
          <w:numId w:val="3"/>
        </w:numPr>
        <w:ind w:left="0" w:firstLine="709"/>
        <w:contextualSpacing w:val="0"/>
        <w:jc w:val="both"/>
        <w:rPr>
          <w:lang w:val="en-GB"/>
        </w:rPr>
      </w:pPr>
      <w:r w:rsidRPr="00107B76">
        <w:rPr>
          <w:color w:val="000000"/>
          <w:lang w:val="en-GB"/>
        </w:rPr>
        <w:t xml:space="preserve">A </w:t>
      </w:r>
      <w:r w:rsidR="00CD4EBB" w:rsidRPr="00107B76">
        <w:rPr>
          <w:color w:val="000000"/>
          <w:lang w:val="en-GB"/>
        </w:rPr>
        <w:t xml:space="preserve">project is implemented </w:t>
      </w:r>
      <w:r w:rsidR="005F2670" w:rsidRPr="00107B76">
        <w:rPr>
          <w:color w:val="000000"/>
          <w:lang w:val="en-GB"/>
        </w:rPr>
        <w:t>in line with the</w:t>
      </w:r>
      <w:r w:rsidR="00D615EA" w:rsidRPr="00107B76">
        <w:rPr>
          <w:color w:val="000000"/>
          <w:lang w:val="en-GB"/>
        </w:rPr>
        <w:t xml:space="preserve"> requirements set in a </w:t>
      </w:r>
      <w:r w:rsidR="00DC098C" w:rsidRPr="00107B76">
        <w:rPr>
          <w:color w:val="000000"/>
          <w:lang w:val="en-GB"/>
        </w:rPr>
        <w:t>projects contract</w:t>
      </w:r>
      <w:r w:rsidR="00D615EA" w:rsidRPr="00107B76">
        <w:rPr>
          <w:lang w:val="en-GB"/>
        </w:rPr>
        <w:t xml:space="preserve">, the Call and </w:t>
      </w:r>
      <w:r w:rsidR="00832A56" w:rsidRPr="00107B76">
        <w:rPr>
          <w:lang w:val="en-GB"/>
        </w:rPr>
        <w:t>the National Rules</w:t>
      </w:r>
      <w:r w:rsidR="00D615EA" w:rsidRPr="00107B76">
        <w:rPr>
          <w:lang w:val="en-GB"/>
        </w:rPr>
        <w:t xml:space="preserve">. </w:t>
      </w:r>
      <w:bookmarkStart w:id="11" w:name="part_a1f9ea0db2c944e9b701f6f10dd5e4c2"/>
      <w:bookmarkEnd w:id="11"/>
    </w:p>
    <w:p w14:paraId="120EB149" w14:textId="13C33091" w:rsidR="00E02E9F" w:rsidRPr="00543EDF" w:rsidRDefault="00E02E9F" w:rsidP="00543EDF">
      <w:pPr>
        <w:pStyle w:val="ListParagraph"/>
        <w:numPr>
          <w:ilvl w:val="0"/>
          <w:numId w:val="3"/>
        </w:numPr>
        <w:ind w:left="0" w:firstLine="709"/>
        <w:contextualSpacing w:val="0"/>
        <w:jc w:val="both"/>
        <w:rPr>
          <w:lang w:val="en-GB"/>
        </w:rPr>
      </w:pPr>
      <w:r>
        <w:rPr>
          <w:rFonts w:eastAsia="Arial0"/>
          <w:color w:val="000000"/>
          <w:lang w:val="en-GB"/>
        </w:rPr>
        <w:t xml:space="preserve">If a project is implemented with partners, a Project Promoter </w:t>
      </w:r>
      <w:r w:rsidRPr="00E02E9F">
        <w:rPr>
          <w:rFonts w:eastAsia="Arial0"/>
          <w:color w:val="000000"/>
          <w:lang w:val="en-GB"/>
        </w:rPr>
        <w:t xml:space="preserve">shall represent all partners in the execution of </w:t>
      </w:r>
      <w:r w:rsidR="003E63E6">
        <w:rPr>
          <w:rFonts w:eastAsia="Arial0"/>
          <w:color w:val="000000"/>
          <w:lang w:val="en-GB"/>
        </w:rPr>
        <w:t>the</w:t>
      </w:r>
      <w:r w:rsidR="00915E9B">
        <w:rPr>
          <w:rFonts w:eastAsia="Arial0"/>
          <w:color w:val="000000"/>
          <w:lang w:val="en-GB"/>
        </w:rPr>
        <w:t xml:space="preserve"> </w:t>
      </w:r>
      <w:r>
        <w:rPr>
          <w:rFonts w:eastAsia="Arial0"/>
          <w:color w:val="000000"/>
          <w:lang w:val="en-GB"/>
        </w:rPr>
        <w:t xml:space="preserve">project contract </w:t>
      </w:r>
      <w:r w:rsidRPr="00E02E9F">
        <w:rPr>
          <w:rFonts w:eastAsia="Arial0"/>
          <w:color w:val="000000"/>
          <w:lang w:val="en-GB"/>
        </w:rPr>
        <w:t>and the implementation of the project</w:t>
      </w:r>
      <w:r w:rsidR="00915E9B">
        <w:rPr>
          <w:rFonts w:eastAsia="Arial0"/>
          <w:color w:val="000000"/>
          <w:lang w:val="en-GB"/>
        </w:rPr>
        <w:t xml:space="preserve">, </w:t>
      </w:r>
      <w:r w:rsidRPr="00E02E9F">
        <w:rPr>
          <w:rFonts w:eastAsia="Arial0"/>
          <w:color w:val="000000"/>
          <w:lang w:val="en-GB"/>
        </w:rPr>
        <w:t xml:space="preserve">and shall ensure that partners are properly informed of their responsibilities </w:t>
      </w:r>
      <w:r>
        <w:rPr>
          <w:rFonts w:eastAsia="Arial0"/>
          <w:color w:val="000000"/>
          <w:lang w:val="en-GB"/>
        </w:rPr>
        <w:t xml:space="preserve">related to execution of </w:t>
      </w:r>
      <w:r w:rsidR="00915E9B">
        <w:rPr>
          <w:rFonts w:eastAsia="Arial0"/>
          <w:color w:val="000000"/>
          <w:lang w:val="en-GB"/>
        </w:rPr>
        <w:t>the p</w:t>
      </w:r>
      <w:r>
        <w:rPr>
          <w:rFonts w:eastAsia="Arial0"/>
          <w:color w:val="000000"/>
          <w:lang w:val="en-GB"/>
        </w:rPr>
        <w:t xml:space="preserve">roject contract and implementation of the project, as well as comply with all the obligations specified in </w:t>
      </w:r>
      <w:r w:rsidR="00915E9B">
        <w:rPr>
          <w:rFonts w:eastAsia="Arial0"/>
          <w:color w:val="000000"/>
          <w:lang w:val="en-GB"/>
        </w:rPr>
        <w:t>the</w:t>
      </w:r>
      <w:r>
        <w:rPr>
          <w:rFonts w:eastAsia="Arial0"/>
          <w:color w:val="000000"/>
          <w:lang w:val="en-GB"/>
        </w:rPr>
        <w:t xml:space="preserve"> project contract, the National Rules and the Call. </w:t>
      </w:r>
      <w:r w:rsidR="00915E9B">
        <w:rPr>
          <w:rFonts w:eastAsia="Arial0"/>
          <w:color w:val="000000"/>
          <w:lang w:val="en-GB"/>
        </w:rPr>
        <w:t xml:space="preserve">Prior to signing a project contract, </w:t>
      </w:r>
      <w:r w:rsidR="00915E9B" w:rsidRPr="00E02E9F">
        <w:rPr>
          <w:rFonts w:eastAsia="Arial0"/>
          <w:color w:val="000000"/>
          <w:lang w:val="en-GB"/>
        </w:rPr>
        <w:t>a</w:t>
      </w:r>
      <w:r w:rsidR="00915E9B">
        <w:rPr>
          <w:rFonts w:eastAsia="Arial0"/>
          <w:color w:val="000000"/>
          <w:lang w:val="en-GB"/>
        </w:rPr>
        <w:t xml:space="preserve"> Project Promoter and shall sign an agreement with partners, in which the rights and obligation of each party during implementation of a project are defined. </w:t>
      </w:r>
    </w:p>
    <w:p w14:paraId="4CEBBAC7" w14:textId="15A0923B" w:rsidR="00973857" w:rsidRPr="00107B76" w:rsidRDefault="001E64DF" w:rsidP="00AE2ED8">
      <w:pPr>
        <w:pStyle w:val="ListParagraph"/>
        <w:numPr>
          <w:ilvl w:val="0"/>
          <w:numId w:val="3"/>
        </w:numPr>
        <w:ind w:left="0" w:firstLine="709"/>
        <w:contextualSpacing w:val="0"/>
        <w:jc w:val="both"/>
        <w:rPr>
          <w:lang w:val="en-GB"/>
        </w:rPr>
      </w:pPr>
      <w:r w:rsidRPr="00107B76">
        <w:rPr>
          <w:lang w:val="en-GB"/>
        </w:rPr>
        <w:t>I</w:t>
      </w:r>
      <w:r w:rsidR="00DA1CE1" w:rsidRPr="00107B76">
        <w:rPr>
          <w:lang w:val="en-GB"/>
        </w:rPr>
        <w:t>f during implementation of a project</w:t>
      </w:r>
      <w:r w:rsidR="00982FA9" w:rsidRPr="00107B76">
        <w:rPr>
          <w:lang w:val="en-GB"/>
        </w:rPr>
        <w:t xml:space="preserve"> </w:t>
      </w:r>
      <w:r w:rsidR="0072239D" w:rsidRPr="00107B76">
        <w:rPr>
          <w:lang w:val="en-GB"/>
        </w:rPr>
        <w:t>tangible assets are</w:t>
      </w:r>
      <w:r w:rsidR="00C10BB3" w:rsidRPr="00107B76">
        <w:rPr>
          <w:lang w:val="en-GB"/>
        </w:rPr>
        <w:t xml:space="preserve"> created or</w:t>
      </w:r>
      <w:r w:rsidR="0072239D" w:rsidRPr="00107B76">
        <w:rPr>
          <w:lang w:val="en-GB"/>
        </w:rPr>
        <w:t xml:space="preserve"> </w:t>
      </w:r>
      <w:r w:rsidR="001123F0" w:rsidRPr="00107B76">
        <w:rPr>
          <w:lang w:val="en-GB"/>
        </w:rPr>
        <w:t>purchased</w:t>
      </w:r>
      <w:r w:rsidR="0072239D" w:rsidRPr="00107B76">
        <w:rPr>
          <w:lang w:val="en-GB"/>
        </w:rPr>
        <w:t xml:space="preserve">, </w:t>
      </w:r>
      <w:r w:rsidR="00D11559" w:rsidRPr="00107B76">
        <w:rPr>
          <w:lang w:val="en-GB"/>
        </w:rPr>
        <w:t xml:space="preserve">continuity of the investment </w:t>
      </w:r>
      <w:r w:rsidR="00C64CC8" w:rsidRPr="00107B76">
        <w:rPr>
          <w:lang w:val="en-GB"/>
        </w:rPr>
        <w:t>shal</w:t>
      </w:r>
      <w:r w:rsidR="002664F6" w:rsidRPr="00107B76">
        <w:rPr>
          <w:lang w:val="en-GB"/>
        </w:rPr>
        <w:t>l</w:t>
      </w:r>
      <w:r w:rsidR="00C64CC8" w:rsidRPr="00107B76">
        <w:rPr>
          <w:lang w:val="en-GB"/>
        </w:rPr>
        <w:t xml:space="preserve"> be ensured in line with the Chapter XXIII of </w:t>
      </w:r>
      <w:r w:rsidR="00832A56" w:rsidRPr="00107B76">
        <w:rPr>
          <w:lang w:val="en-GB"/>
        </w:rPr>
        <w:t>the National Rules</w:t>
      </w:r>
      <w:r w:rsidR="005827BC" w:rsidRPr="00107B76">
        <w:rPr>
          <w:lang w:val="en-GB"/>
        </w:rPr>
        <w:t xml:space="preserve"> for a period of at least five years following the completion of the project.</w:t>
      </w:r>
    </w:p>
    <w:p w14:paraId="222B93E0" w14:textId="30F23019" w:rsidR="00095059" w:rsidRPr="00107B76" w:rsidRDefault="00987EF1" w:rsidP="00AE2ED8">
      <w:pPr>
        <w:pStyle w:val="ListParagraph"/>
        <w:numPr>
          <w:ilvl w:val="0"/>
          <w:numId w:val="3"/>
        </w:numPr>
        <w:autoSpaceDE w:val="0"/>
        <w:autoSpaceDN w:val="0"/>
        <w:adjustRightInd w:val="0"/>
        <w:ind w:left="0" w:firstLine="709"/>
        <w:jc w:val="both"/>
        <w:rPr>
          <w:color w:val="000000"/>
          <w:lang w:val="en-GB"/>
        </w:rPr>
      </w:pPr>
      <w:r w:rsidRPr="00107B76">
        <w:rPr>
          <w:lang w:val="en-GB"/>
        </w:rPr>
        <w:t xml:space="preserve">A Project Promoter shall </w:t>
      </w:r>
      <w:r w:rsidR="00E82F36" w:rsidRPr="00107B76">
        <w:rPr>
          <w:lang w:val="en-GB"/>
        </w:rPr>
        <w:t xml:space="preserve">properly </w:t>
      </w:r>
      <w:proofErr w:type="gramStart"/>
      <w:r w:rsidR="00E82F36" w:rsidRPr="00107B76">
        <w:rPr>
          <w:lang w:val="en-GB"/>
        </w:rPr>
        <w:t>insure</w:t>
      </w:r>
      <w:proofErr w:type="gramEnd"/>
      <w:r w:rsidR="00E92765" w:rsidRPr="00107B76">
        <w:rPr>
          <w:lang w:val="en-GB"/>
        </w:rPr>
        <w:t xml:space="preserve"> tangible assets</w:t>
      </w:r>
      <w:r w:rsidR="00C10BB3" w:rsidRPr="00107B76">
        <w:rPr>
          <w:lang w:val="en-GB"/>
        </w:rPr>
        <w:t>, which were cre</w:t>
      </w:r>
      <w:r w:rsidR="001123F0" w:rsidRPr="00107B76">
        <w:rPr>
          <w:lang w:val="en-GB"/>
        </w:rPr>
        <w:t>a</w:t>
      </w:r>
      <w:r w:rsidR="00C10BB3" w:rsidRPr="00107B76">
        <w:rPr>
          <w:lang w:val="en-GB"/>
        </w:rPr>
        <w:t xml:space="preserve">ted or </w:t>
      </w:r>
      <w:r w:rsidR="001123F0" w:rsidRPr="00107B76">
        <w:rPr>
          <w:lang w:val="en-GB"/>
        </w:rPr>
        <w:t xml:space="preserve">purchased from </w:t>
      </w:r>
      <w:r w:rsidR="004E2B7A" w:rsidRPr="00107B76">
        <w:rPr>
          <w:lang w:val="en-GB"/>
        </w:rPr>
        <w:t>a grant allocated to a project</w:t>
      </w:r>
      <w:r w:rsidR="00547BCB" w:rsidRPr="00107B76">
        <w:rPr>
          <w:lang w:val="en-GB"/>
        </w:rPr>
        <w:t>. Th</w:t>
      </w:r>
      <w:r w:rsidR="00125F89" w:rsidRPr="00107B76">
        <w:rPr>
          <w:lang w:val="en-GB"/>
        </w:rPr>
        <w:t>e insurance shall cover the</w:t>
      </w:r>
      <w:r w:rsidR="00F039ED" w:rsidRPr="00107B76">
        <w:rPr>
          <w:lang w:val="en-GB"/>
        </w:rPr>
        <w:t xml:space="preserve"> maximum recovery value</w:t>
      </w:r>
      <w:r w:rsidR="00636204" w:rsidRPr="00107B76">
        <w:rPr>
          <w:lang w:val="en-GB"/>
        </w:rPr>
        <w:t xml:space="preserve"> of </w:t>
      </w:r>
      <w:r w:rsidR="004E07A9" w:rsidRPr="00107B76">
        <w:rPr>
          <w:lang w:val="en-GB"/>
        </w:rPr>
        <w:t>assets</w:t>
      </w:r>
      <w:r w:rsidR="00064E8F" w:rsidRPr="00107B76">
        <w:rPr>
          <w:lang w:val="en-GB"/>
        </w:rPr>
        <w:t xml:space="preserve"> and all the possible risks</w:t>
      </w:r>
      <w:r w:rsidR="007415B6" w:rsidRPr="00107B76">
        <w:rPr>
          <w:lang w:val="en-GB"/>
        </w:rPr>
        <w:t xml:space="preserve"> shall be take</w:t>
      </w:r>
      <w:r w:rsidR="00380075" w:rsidRPr="00107B76">
        <w:rPr>
          <w:lang w:val="en-GB"/>
        </w:rPr>
        <w:t>n</w:t>
      </w:r>
      <w:r w:rsidR="007415B6" w:rsidRPr="00107B76">
        <w:rPr>
          <w:lang w:val="en-GB"/>
        </w:rPr>
        <w:t xml:space="preserve"> into account. </w:t>
      </w:r>
      <w:r w:rsidR="00AD684E" w:rsidRPr="00107B76">
        <w:rPr>
          <w:lang w:val="en-GB"/>
        </w:rPr>
        <w:t xml:space="preserve">Assets shall be insured </w:t>
      </w:r>
      <w:r w:rsidR="00636461" w:rsidRPr="00107B76">
        <w:rPr>
          <w:lang w:val="en-GB"/>
        </w:rPr>
        <w:t>f</w:t>
      </w:r>
      <w:r w:rsidR="00890A1A" w:rsidRPr="00107B76">
        <w:rPr>
          <w:lang w:val="en-GB"/>
        </w:rPr>
        <w:t xml:space="preserve">rom the moment </w:t>
      </w:r>
      <w:r w:rsidR="00380075" w:rsidRPr="00107B76">
        <w:rPr>
          <w:lang w:val="en-GB"/>
        </w:rPr>
        <w:t xml:space="preserve">of </w:t>
      </w:r>
      <w:r w:rsidR="00636461" w:rsidRPr="00107B76">
        <w:rPr>
          <w:lang w:val="en-GB"/>
        </w:rPr>
        <w:t xml:space="preserve">their </w:t>
      </w:r>
      <w:r w:rsidR="00380075" w:rsidRPr="00107B76">
        <w:rPr>
          <w:lang w:val="en-GB"/>
        </w:rPr>
        <w:t xml:space="preserve">creation or purchase </w:t>
      </w:r>
      <w:r w:rsidR="003F5CE3" w:rsidRPr="00107B76">
        <w:rPr>
          <w:lang w:val="en-GB"/>
        </w:rPr>
        <w:t xml:space="preserve">and at </w:t>
      </w:r>
      <w:r w:rsidR="009114D2" w:rsidRPr="00107B76">
        <w:rPr>
          <w:lang w:val="en-GB"/>
        </w:rPr>
        <w:t>least</w:t>
      </w:r>
      <w:r w:rsidR="003F5CE3" w:rsidRPr="00107B76">
        <w:rPr>
          <w:lang w:val="en-GB"/>
        </w:rPr>
        <w:t xml:space="preserve"> for five years </w:t>
      </w:r>
      <w:r w:rsidR="00FE3C0B" w:rsidRPr="00107B76">
        <w:rPr>
          <w:lang w:val="en-GB"/>
        </w:rPr>
        <w:t xml:space="preserve">upon completion </w:t>
      </w:r>
      <w:r w:rsidR="008F1724" w:rsidRPr="00107B76">
        <w:rPr>
          <w:lang w:val="en-GB"/>
        </w:rPr>
        <w:t xml:space="preserve">of a </w:t>
      </w:r>
      <w:r w:rsidR="008F1724" w:rsidRPr="00107B76">
        <w:rPr>
          <w:color w:val="000000"/>
          <w:lang w:val="en-GB"/>
        </w:rPr>
        <w:t xml:space="preserve">project. </w:t>
      </w:r>
      <w:r w:rsidR="009114D2" w:rsidRPr="00107B76">
        <w:rPr>
          <w:color w:val="000000"/>
          <w:lang w:val="en-GB"/>
        </w:rPr>
        <w:t>In ca</w:t>
      </w:r>
      <w:r w:rsidR="00CB309E" w:rsidRPr="00107B76">
        <w:rPr>
          <w:color w:val="000000"/>
          <w:lang w:val="en-GB"/>
        </w:rPr>
        <w:t xml:space="preserve">se of an insured event, </w:t>
      </w:r>
      <w:r w:rsidR="00DD47CB" w:rsidRPr="00107B76">
        <w:rPr>
          <w:color w:val="000000"/>
          <w:lang w:val="en-GB"/>
        </w:rPr>
        <w:t xml:space="preserve">a Project Promoter </w:t>
      </w:r>
      <w:r w:rsidR="00474EEC" w:rsidRPr="00107B76">
        <w:rPr>
          <w:color w:val="000000"/>
          <w:lang w:val="en-GB"/>
        </w:rPr>
        <w:t xml:space="preserve">has to </w:t>
      </w:r>
      <w:r w:rsidR="00E26272" w:rsidRPr="00107B76">
        <w:rPr>
          <w:color w:val="000000"/>
          <w:lang w:val="en-GB"/>
        </w:rPr>
        <w:t>restore lost assets</w:t>
      </w:r>
      <w:r w:rsidR="00E37871" w:rsidRPr="00107B76">
        <w:rPr>
          <w:color w:val="000000"/>
          <w:lang w:val="en-GB"/>
        </w:rPr>
        <w:t xml:space="preserve">, as well as to ensure that </w:t>
      </w:r>
      <w:r w:rsidR="00CD379B" w:rsidRPr="00107B76">
        <w:rPr>
          <w:color w:val="000000"/>
          <w:lang w:val="en-GB"/>
        </w:rPr>
        <w:t xml:space="preserve">a </w:t>
      </w:r>
      <w:r w:rsidR="00C7476B" w:rsidRPr="00107B76">
        <w:rPr>
          <w:color w:val="000000"/>
          <w:lang w:val="en-GB"/>
        </w:rPr>
        <w:t>partner</w:t>
      </w:r>
      <w:r w:rsidR="00CD379B" w:rsidRPr="00107B76">
        <w:rPr>
          <w:color w:val="000000"/>
          <w:lang w:val="en-GB"/>
        </w:rPr>
        <w:t xml:space="preserve"> (-</w:t>
      </w:r>
      <w:r w:rsidR="00C7476B" w:rsidRPr="00107B76">
        <w:rPr>
          <w:color w:val="000000"/>
          <w:lang w:val="en-GB"/>
        </w:rPr>
        <w:t>s</w:t>
      </w:r>
      <w:r w:rsidR="00CD379B" w:rsidRPr="00107B76">
        <w:rPr>
          <w:color w:val="000000"/>
          <w:lang w:val="en-GB"/>
        </w:rPr>
        <w:t>)</w:t>
      </w:r>
      <w:r w:rsidR="00C7476B" w:rsidRPr="00107B76">
        <w:rPr>
          <w:color w:val="000000"/>
          <w:lang w:val="en-GB"/>
        </w:rPr>
        <w:t xml:space="preserve"> </w:t>
      </w:r>
      <w:r w:rsidR="00CD379B" w:rsidRPr="00107B76">
        <w:rPr>
          <w:color w:val="000000"/>
          <w:lang w:val="en-GB"/>
        </w:rPr>
        <w:t>compl</w:t>
      </w:r>
      <w:r w:rsidR="000F5436" w:rsidRPr="00107B76">
        <w:rPr>
          <w:color w:val="000000"/>
          <w:lang w:val="en-GB"/>
        </w:rPr>
        <w:t>ies</w:t>
      </w:r>
      <w:r w:rsidR="00CD379B" w:rsidRPr="00107B76">
        <w:rPr>
          <w:color w:val="000000"/>
          <w:lang w:val="en-GB"/>
        </w:rPr>
        <w:t xml:space="preserve"> with this obligation. </w:t>
      </w:r>
    </w:p>
    <w:p w14:paraId="77DBE884" w14:textId="557EA18C" w:rsidR="00AD59CB" w:rsidRPr="00107B76" w:rsidRDefault="00501ACA"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t xml:space="preserve">A Partnership agreement can be amended </w:t>
      </w:r>
      <w:r w:rsidR="00CD6796" w:rsidRPr="00107B76">
        <w:rPr>
          <w:color w:val="000000"/>
          <w:lang w:val="en-GB"/>
        </w:rPr>
        <w:t xml:space="preserve">after a signature of a </w:t>
      </w:r>
      <w:r w:rsidR="00DC098C" w:rsidRPr="00107B76">
        <w:rPr>
          <w:color w:val="000000"/>
          <w:lang w:val="en-GB"/>
        </w:rPr>
        <w:t>projects contract</w:t>
      </w:r>
      <w:r w:rsidR="00CD6796" w:rsidRPr="00107B76">
        <w:rPr>
          <w:color w:val="000000"/>
          <w:lang w:val="en-GB"/>
        </w:rPr>
        <w:t xml:space="preserve">. </w:t>
      </w:r>
      <w:r w:rsidR="008509E7" w:rsidRPr="00107B76">
        <w:rPr>
          <w:color w:val="000000"/>
          <w:lang w:val="en-GB"/>
        </w:rPr>
        <w:t>Only the</w:t>
      </w:r>
      <w:r w:rsidR="00485FC8" w:rsidRPr="00107B76">
        <w:rPr>
          <w:color w:val="000000"/>
          <w:lang w:val="en-GB"/>
        </w:rPr>
        <w:t>se</w:t>
      </w:r>
      <w:r w:rsidR="008509E7" w:rsidRPr="00107B76">
        <w:rPr>
          <w:color w:val="000000"/>
          <w:lang w:val="en-GB"/>
        </w:rPr>
        <w:t xml:space="preserve"> amendments </w:t>
      </w:r>
      <w:r w:rsidR="002C4E9C" w:rsidRPr="00107B76">
        <w:rPr>
          <w:color w:val="000000"/>
          <w:lang w:val="en-GB"/>
        </w:rPr>
        <w:t>of a Partnershi</w:t>
      </w:r>
      <w:r w:rsidR="00485FC8" w:rsidRPr="00107B76">
        <w:rPr>
          <w:color w:val="000000"/>
          <w:lang w:val="en-GB"/>
        </w:rPr>
        <w:t>p</w:t>
      </w:r>
      <w:r w:rsidR="002C4E9C" w:rsidRPr="00107B76">
        <w:rPr>
          <w:color w:val="000000"/>
          <w:lang w:val="en-GB"/>
        </w:rPr>
        <w:t xml:space="preserve"> Agreement </w:t>
      </w:r>
      <w:r w:rsidR="00485FC8" w:rsidRPr="00107B76">
        <w:rPr>
          <w:color w:val="000000"/>
          <w:lang w:val="en-GB"/>
        </w:rPr>
        <w:t>which</w:t>
      </w:r>
      <w:r w:rsidR="002C4E9C" w:rsidRPr="00107B76">
        <w:rPr>
          <w:color w:val="000000"/>
          <w:lang w:val="en-GB"/>
        </w:rPr>
        <w:t xml:space="preserve"> </w:t>
      </w:r>
      <w:r w:rsidR="00F07F7F" w:rsidRPr="00107B76">
        <w:rPr>
          <w:color w:val="000000"/>
          <w:lang w:val="en-GB"/>
        </w:rPr>
        <w:t xml:space="preserve">did not have a substantial impact on the decision </w:t>
      </w:r>
      <w:r w:rsidR="007D5780" w:rsidRPr="00107B76">
        <w:rPr>
          <w:color w:val="000000"/>
          <w:lang w:val="en-GB"/>
        </w:rPr>
        <w:t>regarding awarding a project with a grant</w:t>
      </w:r>
      <w:r w:rsidR="00485FC8" w:rsidRPr="00107B76">
        <w:rPr>
          <w:color w:val="000000"/>
          <w:lang w:val="en-GB"/>
        </w:rPr>
        <w:t xml:space="preserve"> are possible</w:t>
      </w:r>
      <w:r w:rsidR="007D5780" w:rsidRPr="00107B76">
        <w:rPr>
          <w:color w:val="000000"/>
          <w:lang w:val="en-GB"/>
        </w:rPr>
        <w:t xml:space="preserve">. </w:t>
      </w:r>
      <w:r w:rsidR="00730463" w:rsidRPr="00107B76">
        <w:rPr>
          <w:color w:val="000000"/>
          <w:lang w:val="en-GB"/>
        </w:rPr>
        <w:t>Amendments</w:t>
      </w:r>
      <w:r w:rsidR="007D4D7D" w:rsidRPr="00107B76">
        <w:rPr>
          <w:color w:val="000000"/>
          <w:lang w:val="en-GB"/>
        </w:rPr>
        <w:t xml:space="preserve"> of a Partnership Agreement have to be </w:t>
      </w:r>
      <w:r w:rsidR="00730463" w:rsidRPr="00107B76">
        <w:rPr>
          <w:color w:val="000000"/>
          <w:lang w:val="en-GB"/>
        </w:rPr>
        <w:t>harmonized with MITA in a written f</w:t>
      </w:r>
      <w:r w:rsidR="00A703E3" w:rsidRPr="00107B76">
        <w:rPr>
          <w:color w:val="000000"/>
          <w:lang w:val="en-GB"/>
        </w:rPr>
        <w:t>orm (via DMS)</w:t>
      </w:r>
      <w:r w:rsidR="00E00FAD" w:rsidRPr="00107B76">
        <w:rPr>
          <w:color w:val="000000"/>
          <w:lang w:val="en-GB"/>
        </w:rPr>
        <w:t xml:space="preserve"> immediately when there is grou</w:t>
      </w:r>
      <w:r w:rsidR="00070AA3" w:rsidRPr="00107B76">
        <w:rPr>
          <w:color w:val="000000"/>
          <w:lang w:val="en-GB"/>
        </w:rPr>
        <w:t>n</w:t>
      </w:r>
      <w:r w:rsidR="00E00FAD" w:rsidRPr="00107B76">
        <w:rPr>
          <w:color w:val="000000"/>
          <w:lang w:val="en-GB"/>
        </w:rPr>
        <w:t xml:space="preserve">d </w:t>
      </w:r>
      <w:r w:rsidR="00070AA3" w:rsidRPr="00107B76">
        <w:rPr>
          <w:color w:val="000000"/>
          <w:lang w:val="en-GB"/>
        </w:rPr>
        <w:t xml:space="preserve">for </w:t>
      </w:r>
      <w:r w:rsidR="00095059" w:rsidRPr="00107B76">
        <w:rPr>
          <w:color w:val="000000"/>
          <w:lang w:val="en-GB"/>
        </w:rPr>
        <w:t>amendment</w:t>
      </w:r>
      <w:r w:rsidR="00070AA3" w:rsidRPr="00107B76">
        <w:rPr>
          <w:color w:val="000000"/>
          <w:lang w:val="en-GB"/>
        </w:rPr>
        <w:t xml:space="preserve"> of an agreement. </w:t>
      </w:r>
      <w:r w:rsidR="00B64572" w:rsidRPr="00107B76">
        <w:rPr>
          <w:color w:val="000000"/>
          <w:lang w:val="en-GB"/>
        </w:rPr>
        <w:t xml:space="preserve">Amendments to a Partnership Agreement </w:t>
      </w:r>
      <w:r w:rsidR="00CB7B2B" w:rsidRPr="00107B76">
        <w:rPr>
          <w:color w:val="000000"/>
          <w:lang w:val="en-GB"/>
        </w:rPr>
        <w:t xml:space="preserve">have to be </w:t>
      </w:r>
      <w:r w:rsidR="00FE7156" w:rsidRPr="00107B76">
        <w:rPr>
          <w:color w:val="000000"/>
          <w:lang w:val="en-GB"/>
        </w:rPr>
        <w:t xml:space="preserve">documented in a written form </w:t>
      </w:r>
      <w:r w:rsidR="00416C78" w:rsidRPr="00107B76">
        <w:rPr>
          <w:color w:val="000000"/>
          <w:lang w:val="en-GB"/>
        </w:rPr>
        <w:t xml:space="preserve">by amending or </w:t>
      </w:r>
      <w:r w:rsidR="00095059" w:rsidRPr="00107B76">
        <w:rPr>
          <w:color w:val="000000"/>
          <w:lang w:val="en-GB"/>
        </w:rPr>
        <w:t xml:space="preserve">supplementing an agreement. </w:t>
      </w:r>
    </w:p>
    <w:p w14:paraId="37250537" w14:textId="4C169908" w:rsidR="009434B3" w:rsidRPr="00107B76" w:rsidRDefault="005D6FFC"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t xml:space="preserve">If project activities </w:t>
      </w:r>
      <w:r w:rsidR="00FA05E3" w:rsidRPr="00107B76">
        <w:rPr>
          <w:color w:val="000000"/>
          <w:lang w:val="en-GB"/>
        </w:rPr>
        <w:t>are not</w:t>
      </w:r>
      <w:r w:rsidR="005125D6" w:rsidRPr="00107B76">
        <w:rPr>
          <w:color w:val="000000"/>
          <w:lang w:val="en-GB"/>
        </w:rPr>
        <w:t xml:space="preserve"> commence</w:t>
      </w:r>
      <w:r w:rsidR="00FA05E3" w:rsidRPr="00107B76">
        <w:rPr>
          <w:color w:val="000000"/>
          <w:lang w:val="en-GB"/>
        </w:rPr>
        <w:t>d</w:t>
      </w:r>
      <w:r w:rsidR="005125D6" w:rsidRPr="00107B76">
        <w:rPr>
          <w:color w:val="000000"/>
          <w:lang w:val="en-GB"/>
        </w:rPr>
        <w:t xml:space="preserve"> within 3 months </w:t>
      </w:r>
      <w:r w:rsidR="00D37458" w:rsidRPr="00107B76">
        <w:rPr>
          <w:color w:val="000000"/>
          <w:lang w:val="en-GB"/>
        </w:rPr>
        <w:t>from the day on which a</w:t>
      </w:r>
      <w:r w:rsidRPr="00107B76">
        <w:rPr>
          <w:lang w:val="en-GB"/>
        </w:rPr>
        <w:t xml:space="preserve"> </w:t>
      </w:r>
      <w:r w:rsidR="00DC098C" w:rsidRPr="00107B76">
        <w:rPr>
          <w:lang w:val="en-GB"/>
        </w:rPr>
        <w:t>projects contract</w:t>
      </w:r>
      <w:r w:rsidRPr="00107B76">
        <w:rPr>
          <w:lang w:val="en-GB"/>
        </w:rPr>
        <w:t xml:space="preserve"> </w:t>
      </w:r>
      <w:r w:rsidR="00D37458" w:rsidRPr="00107B76">
        <w:rPr>
          <w:lang w:val="en-GB"/>
        </w:rPr>
        <w:t xml:space="preserve">is signed, MITA has the right to unilaterally </w:t>
      </w:r>
      <w:r w:rsidR="00A72FE9" w:rsidRPr="00107B76">
        <w:rPr>
          <w:lang w:val="en-GB"/>
        </w:rPr>
        <w:t xml:space="preserve">terminate </w:t>
      </w:r>
      <w:r w:rsidR="00485FC8" w:rsidRPr="00107B76">
        <w:rPr>
          <w:lang w:val="en-GB"/>
        </w:rPr>
        <w:t xml:space="preserve">a </w:t>
      </w:r>
      <w:r w:rsidR="00DC098C" w:rsidRPr="00107B76">
        <w:rPr>
          <w:lang w:val="en-GB"/>
        </w:rPr>
        <w:t>projects contract</w:t>
      </w:r>
      <w:r w:rsidR="00446E1A" w:rsidRPr="00107B76">
        <w:rPr>
          <w:lang w:val="en-GB"/>
        </w:rPr>
        <w:t xml:space="preserve">, in line with </w:t>
      </w:r>
      <w:r w:rsidR="00485FC8" w:rsidRPr="00107B76">
        <w:rPr>
          <w:lang w:val="en-GB"/>
        </w:rPr>
        <w:t xml:space="preserve">the </w:t>
      </w:r>
      <w:r w:rsidR="00446E1A" w:rsidRPr="00107B76">
        <w:rPr>
          <w:lang w:val="en-GB"/>
        </w:rPr>
        <w:t xml:space="preserve">procedure stated in </w:t>
      </w:r>
      <w:r w:rsidR="00E73F33" w:rsidRPr="00107B76">
        <w:rPr>
          <w:lang w:val="en-GB"/>
        </w:rPr>
        <w:t xml:space="preserve">paragraph 256 </w:t>
      </w:r>
      <w:r w:rsidR="00AD59CB" w:rsidRPr="00107B76">
        <w:rPr>
          <w:lang w:val="en-GB"/>
        </w:rPr>
        <w:t>o</w:t>
      </w:r>
      <w:r w:rsidR="00E73F33" w:rsidRPr="00107B76">
        <w:rPr>
          <w:lang w:val="en-GB"/>
        </w:rPr>
        <w:t xml:space="preserve">f </w:t>
      </w:r>
      <w:r w:rsidR="00832A56" w:rsidRPr="00107B76">
        <w:rPr>
          <w:lang w:val="en-GB"/>
        </w:rPr>
        <w:t>the National Rules</w:t>
      </w:r>
      <w:r w:rsidR="00E73F33" w:rsidRPr="00107B76">
        <w:rPr>
          <w:lang w:val="en-GB"/>
        </w:rPr>
        <w:t xml:space="preserve">. </w:t>
      </w:r>
      <w:r w:rsidR="00630269" w:rsidRPr="00107B76">
        <w:rPr>
          <w:lang w:val="en-GB"/>
        </w:rPr>
        <w:t xml:space="preserve">If MITA does not terminate an agreement, </w:t>
      </w:r>
      <w:r w:rsidR="00D21346" w:rsidRPr="00107B76">
        <w:rPr>
          <w:lang w:val="en-GB"/>
        </w:rPr>
        <w:t xml:space="preserve">a Project Promoter is given 5 working days </w:t>
      </w:r>
      <w:r w:rsidR="003336AE" w:rsidRPr="00107B76">
        <w:rPr>
          <w:lang w:val="en-GB"/>
        </w:rPr>
        <w:t xml:space="preserve">to provide information on </w:t>
      </w:r>
      <w:r w:rsidR="00DF06EB" w:rsidRPr="00107B76">
        <w:rPr>
          <w:lang w:val="en-GB"/>
        </w:rPr>
        <w:t xml:space="preserve">postponement of </w:t>
      </w:r>
      <w:r w:rsidR="00CE783C" w:rsidRPr="00107B76">
        <w:rPr>
          <w:lang w:val="en-GB"/>
        </w:rPr>
        <w:t xml:space="preserve">the beginning of implementation </w:t>
      </w:r>
      <w:r w:rsidR="00FF4C75" w:rsidRPr="00107B76">
        <w:rPr>
          <w:lang w:val="en-GB"/>
        </w:rPr>
        <w:t>o</w:t>
      </w:r>
      <w:r w:rsidR="00CE783C" w:rsidRPr="00107B76">
        <w:rPr>
          <w:lang w:val="en-GB"/>
        </w:rPr>
        <w:t>f project activities.</w:t>
      </w:r>
      <w:r w:rsidR="00B130A3" w:rsidRPr="00107B76">
        <w:rPr>
          <w:lang w:val="en-GB"/>
        </w:rPr>
        <w:t xml:space="preserve"> Having evaluated </w:t>
      </w:r>
      <w:r w:rsidR="00E02B7E" w:rsidRPr="00107B76">
        <w:rPr>
          <w:lang w:val="en-GB"/>
        </w:rPr>
        <w:t xml:space="preserve">the reasons for the postponement, MITA </w:t>
      </w:r>
      <w:r w:rsidR="006C1E65" w:rsidRPr="00107B76">
        <w:rPr>
          <w:lang w:val="en-GB"/>
        </w:rPr>
        <w:t xml:space="preserve">makes a final decision </w:t>
      </w:r>
      <w:r w:rsidR="000E5C6E" w:rsidRPr="00107B76">
        <w:rPr>
          <w:lang w:val="en-GB"/>
        </w:rPr>
        <w:t xml:space="preserve">regarding </w:t>
      </w:r>
      <w:r w:rsidR="00CD6408" w:rsidRPr="00107B76">
        <w:rPr>
          <w:lang w:val="en-GB"/>
        </w:rPr>
        <w:t>extension</w:t>
      </w:r>
      <w:r w:rsidR="00936CE1" w:rsidRPr="00107B76">
        <w:rPr>
          <w:lang w:val="en-GB"/>
        </w:rPr>
        <w:t xml:space="preserve"> (</w:t>
      </w:r>
      <w:r w:rsidR="00C47A31" w:rsidRPr="00107B76">
        <w:rPr>
          <w:lang w:val="en-GB"/>
        </w:rPr>
        <w:t>non-extension</w:t>
      </w:r>
      <w:r w:rsidR="00936CE1" w:rsidRPr="00107B76">
        <w:rPr>
          <w:lang w:val="en-GB"/>
        </w:rPr>
        <w:t>)</w:t>
      </w:r>
      <w:r w:rsidR="00CD6408" w:rsidRPr="00107B76">
        <w:rPr>
          <w:lang w:val="en-GB"/>
        </w:rPr>
        <w:t xml:space="preserve"> of an agreement.</w:t>
      </w:r>
    </w:p>
    <w:p w14:paraId="262F0DE2" w14:textId="4FB90F48" w:rsidR="00D35D97" w:rsidRPr="00107B76" w:rsidRDefault="00200184"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t>A Project Promoter and a partner</w:t>
      </w:r>
      <w:r w:rsidR="00C11B69" w:rsidRPr="00107B76">
        <w:rPr>
          <w:color w:val="000000"/>
          <w:lang w:val="en-GB"/>
        </w:rPr>
        <w:t xml:space="preserve"> (-s) have to include </w:t>
      </w:r>
      <w:r w:rsidR="008E4017" w:rsidRPr="00107B76">
        <w:rPr>
          <w:color w:val="000000"/>
          <w:lang w:val="en-GB"/>
        </w:rPr>
        <w:t xml:space="preserve">costs related to R&amp;D </w:t>
      </w:r>
      <w:r w:rsidR="00E04720" w:rsidRPr="00107B76">
        <w:rPr>
          <w:color w:val="000000"/>
          <w:lang w:val="en-GB"/>
        </w:rPr>
        <w:t>in their annual tax declaration</w:t>
      </w:r>
      <w:r w:rsidR="00DB6BB3" w:rsidRPr="00107B76">
        <w:rPr>
          <w:color w:val="000000"/>
          <w:lang w:val="en-GB"/>
        </w:rPr>
        <w:t xml:space="preserve">, submitted to </w:t>
      </w:r>
      <w:r w:rsidR="00A210E5" w:rsidRPr="00107B76">
        <w:rPr>
          <w:color w:val="000000"/>
          <w:lang w:val="en-GB"/>
        </w:rPr>
        <w:t xml:space="preserve">the </w:t>
      </w:r>
      <w:r w:rsidR="00DB6BB3" w:rsidRPr="00107B76">
        <w:rPr>
          <w:color w:val="000000"/>
          <w:lang w:val="en-GB"/>
        </w:rPr>
        <w:t xml:space="preserve">State </w:t>
      </w:r>
      <w:r w:rsidR="00F043F3" w:rsidRPr="00107B76">
        <w:rPr>
          <w:color w:val="000000"/>
          <w:lang w:val="en-GB"/>
        </w:rPr>
        <w:t>Tax Inspectorate</w:t>
      </w:r>
      <w:r w:rsidR="00971625" w:rsidRPr="00107B76">
        <w:rPr>
          <w:color w:val="000000"/>
          <w:lang w:val="en-GB"/>
        </w:rPr>
        <w:t xml:space="preserve"> Under the Ministry of Finance of the Republic of Lithuania</w:t>
      </w:r>
      <w:r w:rsidR="004045F2" w:rsidRPr="00107B76">
        <w:rPr>
          <w:color w:val="000000"/>
          <w:lang w:val="en-GB"/>
        </w:rPr>
        <w:t>.</w:t>
      </w:r>
      <w:bookmarkStart w:id="12" w:name="part_95a8e64f34e3431cbaccbe4967202c8e"/>
      <w:bookmarkEnd w:id="12"/>
    </w:p>
    <w:p w14:paraId="098C2AB4" w14:textId="38A96EC6" w:rsidR="00D35D97" w:rsidRPr="00107B76" w:rsidRDefault="00775011"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lastRenderedPageBreak/>
        <w:t>When submitting information for</w:t>
      </w:r>
      <w:r w:rsidR="00D235E1" w:rsidRPr="00107B76">
        <w:rPr>
          <w:color w:val="000000"/>
          <w:lang w:val="en-GB"/>
        </w:rPr>
        <w:t xml:space="preserve"> statistical institutions, a</w:t>
      </w:r>
      <w:r w:rsidR="002D1D13" w:rsidRPr="00107B76">
        <w:rPr>
          <w:color w:val="000000"/>
          <w:lang w:val="en-GB"/>
        </w:rPr>
        <w:t xml:space="preserve"> Project Promoter and partner </w:t>
      </w:r>
      <w:r w:rsidR="00966CF7" w:rsidRPr="00107B76">
        <w:rPr>
          <w:color w:val="000000"/>
          <w:lang w:val="en-GB"/>
        </w:rPr>
        <w:t xml:space="preserve">shall provide </w:t>
      </w:r>
      <w:r w:rsidR="00E85B24" w:rsidRPr="00107B76">
        <w:rPr>
          <w:color w:val="000000"/>
          <w:lang w:val="en-GB"/>
        </w:rPr>
        <w:t>information on costs related to R&amp;D</w:t>
      </w:r>
      <w:r w:rsidR="00485FC8" w:rsidRPr="00107B76">
        <w:rPr>
          <w:color w:val="000000"/>
          <w:lang w:val="en-GB"/>
        </w:rPr>
        <w:t>,</w:t>
      </w:r>
      <w:r w:rsidR="00E85B24" w:rsidRPr="00107B76">
        <w:rPr>
          <w:color w:val="000000"/>
          <w:lang w:val="en-GB"/>
        </w:rPr>
        <w:t xml:space="preserve"> </w:t>
      </w:r>
      <w:r w:rsidR="0013224D" w:rsidRPr="00107B76">
        <w:rPr>
          <w:color w:val="000000"/>
          <w:lang w:val="en-GB"/>
        </w:rPr>
        <w:t xml:space="preserve">in line with the legislation </w:t>
      </w:r>
      <w:r w:rsidR="000D359D" w:rsidRPr="00107B76">
        <w:rPr>
          <w:color w:val="000000"/>
          <w:lang w:val="en-GB"/>
        </w:rPr>
        <w:t xml:space="preserve">regulating </w:t>
      </w:r>
      <w:r w:rsidR="003521F3" w:rsidRPr="00107B76">
        <w:rPr>
          <w:color w:val="000000"/>
          <w:lang w:val="en-GB"/>
        </w:rPr>
        <w:t xml:space="preserve">area of statistics. </w:t>
      </w:r>
    </w:p>
    <w:p w14:paraId="511DCBFE" w14:textId="6C8FD4A6" w:rsidR="005D43E8" w:rsidRPr="00107B76" w:rsidRDefault="00BE539C"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t xml:space="preserve">Intellectual property </w:t>
      </w:r>
      <w:r w:rsidR="00D92942" w:rsidRPr="00107B76">
        <w:rPr>
          <w:color w:val="000000"/>
          <w:lang w:val="en-GB"/>
        </w:rPr>
        <w:t xml:space="preserve">developed </w:t>
      </w:r>
      <w:r w:rsidR="00A24142" w:rsidRPr="00107B76">
        <w:rPr>
          <w:color w:val="000000"/>
          <w:lang w:val="en-GB"/>
        </w:rPr>
        <w:t xml:space="preserve">during implementation of a project </w:t>
      </w:r>
      <w:r w:rsidR="00CA0519" w:rsidRPr="00107B76">
        <w:rPr>
          <w:color w:val="000000"/>
          <w:lang w:val="en-GB"/>
        </w:rPr>
        <w:t>cannot be</w:t>
      </w:r>
      <w:r w:rsidR="002B3805" w:rsidRPr="00107B76">
        <w:rPr>
          <w:color w:val="000000"/>
          <w:lang w:val="en-GB"/>
        </w:rPr>
        <w:t xml:space="preserve"> transferred at no cost </w:t>
      </w:r>
      <w:r w:rsidR="00E00889" w:rsidRPr="00107B76">
        <w:rPr>
          <w:color w:val="000000"/>
          <w:lang w:val="en-GB"/>
        </w:rPr>
        <w:t xml:space="preserve">to other legal </w:t>
      </w:r>
      <w:r w:rsidR="00D70649" w:rsidRPr="00107B76">
        <w:rPr>
          <w:color w:val="000000"/>
          <w:lang w:val="en-GB"/>
        </w:rPr>
        <w:t xml:space="preserve">or natural </w:t>
      </w:r>
      <w:r w:rsidR="00512B71" w:rsidRPr="00107B76">
        <w:rPr>
          <w:color w:val="000000"/>
          <w:lang w:val="en-GB"/>
        </w:rPr>
        <w:t xml:space="preserve">person </w:t>
      </w:r>
      <w:r w:rsidR="00CE1A0E" w:rsidRPr="00107B76">
        <w:rPr>
          <w:color w:val="000000"/>
          <w:lang w:val="en-GB"/>
        </w:rPr>
        <w:t>within 5 years upon completion of</w:t>
      </w:r>
      <w:r w:rsidR="005146D8" w:rsidRPr="00107B76">
        <w:rPr>
          <w:color w:val="000000"/>
          <w:lang w:val="en-GB"/>
        </w:rPr>
        <w:t xml:space="preserve"> </w:t>
      </w:r>
      <w:r w:rsidR="00CE1A0E" w:rsidRPr="00107B76">
        <w:rPr>
          <w:color w:val="000000"/>
          <w:lang w:val="en-GB"/>
        </w:rPr>
        <w:t>a project.</w:t>
      </w:r>
      <w:r w:rsidR="002C425A" w:rsidRPr="00107B76">
        <w:rPr>
          <w:color w:val="000000"/>
          <w:lang w:val="en-GB"/>
        </w:rPr>
        <w:t xml:space="preserve"> Intellectual</w:t>
      </w:r>
      <w:r w:rsidR="00CE1A0E" w:rsidRPr="00107B76">
        <w:rPr>
          <w:color w:val="000000"/>
          <w:lang w:val="en-GB"/>
        </w:rPr>
        <w:t xml:space="preserve"> </w:t>
      </w:r>
      <w:r w:rsidR="00D026FC" w:rsidRPr="00107B76">
        <w:rPr>
          <w:color w:val="000000"/>
          <w:lang w:val="en-GB"/>
        </w:rPr>
        <w:t>property</w:t>
      </w:r>
      <w:r w:rsidR="002C425A" w:rsidRPr="00107B76">
        <w:rPr>
          <w:color w:val="000000"/>
          <w:lang w:val="en-GB"/>
        </w:rPr>
        <w:t xml:space="preserve"> </w:t>
      </w:r>
      <w:r w:rsidR="002B4C7C" w:rsidRPr="00107B76">
        <w:rPr>
          <w:color w:val="000000"/>
          <w:lang w:val="en-GB"/>
        </w:rPr>
        <w:t xml:space="preserve">created during project implementation and </w:t>
      </w:r>
      <w:r w:rsidR="005E6BC1" w:rsidRPr="00107B76">
        <w:rPr>
          <w:color w:val="000000"/>
          <w:lang w:val="en-GB"/>
        </w:rPr>
        <w:t xml:space="preserve">sold </w:t>
      </w:r>
      <w:r w:rsidR="004C12D2" w:rsidRPr="00107B76">
        <w:rPr>
          <w:color w:val="000000"/>
          <w:lang w:val="en-GB"/>
        </w:rPr>
        <w:t xml:space="preserve">for </w:t>
      </w:r>
      <w:r w:rsidR="001D3CB8" w:rsidRPr="00107B76">
        <w:rPr>
          <w:color w:val="000000"/>
          <w:lang w:val="en-GB"/>
        </w:rPr>
        <w:t>the price not corresponding market price (i.e. the smaller</w:t>
      </w:r>
      <w:r w:rsidR="00D026FC" w:rsidRPr="00107B76">
        <w:rPr>
          <w:color w:val="000000"/>
          <w:lang w:val="en-GB"/>
        </w:rPr>
        <w:t xml:space="preserve"> price</w:t>
      </w:r>
      <w:r w:rsidR="001D3CB8" w:rsidRPr="00107B76">
        <w:rPr>
          <w:color w:val="000000"/>
          <w:lang w:val="en-GB"/>
        </w:rPr>
        <w:t xml:space="preserve">) </w:t>
      </w:r>
      <w:r w:rsidR="00D026FC" w:rsidRPr="00107B76">
        <w:rPr>
          <w:color w:val="000000"/>
          <w:lang w:val="en-GB"/>
        </w:rPr>
        <w:t xml:space="preserve">is deemed </w:t>
      </w:r>
      <w:r w:rsidR="009913E0" w:rsidRPr="00107B76">
        <w:rPr>
          <w:color w:val="000000"/>
          <w:lang w:val="en-GB"/>
        </w:rPr>
        <w:t>as the one transferred</w:t>
      </w:r>
      <w:r w:rsidR="00D026FC" w:rsidRPr="00107B76">
        <w:rPr>
          <w:color w:val="000000"/>
          <w:lang w:val="en-GB"/>
        </w:rPr>
        <w:t xml:space="preserve"> at no cost. </w:t>
      </w:r>
    </w:p>
    <w:p w14:paraId="4CBC3EDE" w14:textId="62BA53DC" w:rsidR="00237F72" w:rsidRPr="00107B76" w:rsidRDefault="006600A0" w:rsidP="00AE2ED8">
      <w:pPr>
        <w:pStyle w:val="ListParagraph"/>
        <w:numPr>
          <w:ilvl w:val="0"/>
          <w:numId w:val="3"/>
        </w:numPr>
        <w:autoSpaceDE w:val="0"/>
        <w:autoSpaceDN w:val="0"/>
        <w:adjustRightInd w:val="0"/>
        <w:ind w:left="0" w:firstLine="709"/>
        <w:jc w:val="both"/>
        <w:rPr>
          <w:color w:val="000000"/>
          <w:lang w:val="en-GB"/>
        </w:rPr>
      </w:pPr>
      <w:r w:rsidRPr="00107B76">
        <w:rPr>
          <w:color w:val="000000"/>
          <w:lang w:val="en-GB"/>
        </w:rPr>
        <w:t>A prototype</w:t>
      </w:r>
      <w:r w:rsidR="001730D9" w:rsidRPr="00107B76">
        <w:rPr>
          <w:color w:val="000000"/>
          <w:lang w:val="en-GB"/>
        </w:rPr>
        <w:t xml:space="preserve"> (-s)</w:t>
      </w:r>
      <w:r w:rsidRPr="00107B76">
        <w:rPr>
          <w:color w:val="000000"/>
          <w:lang w:val="en-GB"/>
        </w:rPr>
        <w:t xml:space="preserve"> </w:t>
      </w:r>
      <w:r w:rsidR="00123E57" w:rsidRPr="00107B76">
        <w:rPr>
          <w:color w:val="000000"/>
          <w:lang w:val="en-GB"/>
        </w:rPr>
        <w:t xml:space="preserve">or a product test batch </w:t>
      </w:r>
      <w:r w:rsidRPr="00107B76">
        <w:rPr>
          <w:color w:val="000000"/>
          <w:lang w:val="en-GB"/>
        </w:rPr>
        <w:t xml:space="preserve">created during project implementation </w:t>
      </w:r>
      <w:r w:rsidR="00C5701B" w:rsidRPr="00107B76">
        <w:rPr>
          <w:color w:val="000000"/>
          <w:lang w:val="en-GB"/>
        </w:rPr>
        <w:t xml:space="preserve">can only be used for </w:t>
      </w:r>
      <w:r w:rsidR="00224A70" w:rsidRPr="00107B76">
        <w:rPr>
          <w:color w:val="000000"/>
          <w:lang w:val="en-GB"/>
        </w:rPr>
        <w:t>further R&amp;D</w:t>
      </w:r>
      <w:r w:rsidR="007671F1" w:rsidRPr="00107B76">
        <w:rPr>
          <w:color w:val="000000"/>
          <w:lang w:val="en-GB"/>
        </w:rPr>
        <w:t xml:space="preserve"> activities and demonstration </w:t>
      </w:r>
      <w:r w:rsidR="00E24060" w:rsidRPr="00107B76">
        <w:rPr>
          <w:color w:val="000000"/>
          <w:lang w:val="en-GB"/>
        </w:rPr>
        <w:t xml:space="preserve">during </w:t>
      </w:r>
      <w:r w:rsidR="005E1C95" w:rsidRPr="00107B76">
        <w:rPr>
          <w:color w:val="000000"/>
          <w:lang w:val="en-GB"/>
        </w:rPr>
        <w:t>5</w:t>
      </w:r>
      <w:r w:rsidR="007671F1" w:rsidRPr="00107B76">
        <w:rPr>
          <w:color w:val="000000"/>
          <w:lang w:val="en-GB"/>
        </w:rPr>
        <w:t xml:space="preserve"> years </w:t>
      </w:r>
      <w:r w:rsidR="008D633A" w:rsidRPr="00107B76">
        <w:rPr>
          <w:color w:val="000000"/>
          <w:lang w:val="en-GB"/>
        </w:rPr>
        <w:t>after</w:t>
      </w:r>
      <w:r w:rsidR="007671F1" w:rsidRPr="00107B76">
        <w:rPr>
          <w:color w:val="000000"/>
          <w:lang w:val="en-GB"/>
        </w:rPr>
        <w:t xml:space="preserve"> completion of the project.</w:t>
      </w:r>
    </w:p>
    <w:p w14:paraId="6DA46855" w14:textId="2DB6C496" w:rsidR="00333E26" w:rsidRPr="00107B76" w:rsidRDefault="00333E26" w:rsidP="00AE2ED8">
      <w:pPr>
        <w:pStyle w:val="ListParagraph"/>
        <w:numPr>
          <w:ilvl w:val="0"/>
          <w:numId w:val="3"/>
        </w:numPr>
        <w:tabs>
          <w:tab w:val="left" w:pos="993"/>
          <w:tab w:val="left" w:pos="1134"/>
        </w:tabs>
        <w:autoSpaceDE w:val="0"/>
        <w:autoSpaceDN w:val="0"/>
        <w:adjustRightInd w:val="0"/>
        <w:ind w:left="0" w:firstLine="709"/>
        <w:jc w:val="both"/>
        <w:rPr>
          <w:color w:val="000000"/>
          <w:lang w:val="en-GB"/>
        </w:rPr>
      </w:pPr>
      <w:r w:rsidRPr="00107B76">
        <w:rPr>
          <w:lang w:val="en-GB"/>
        </w:rPr>
        <w:t xml:space="preserve">Payments to a project will take form of an advance payment, interim payments and the final payment. </w:t>
      </w:r>
      <w:r w:rsidRPr="00107B76">
        <w:rPr>
          <w:color w:val="000000"/>
          <w:lang w:val="en-GB"/>
        </w:rPr>
        <w:t>A Project Promoter will need to have a separate account for project funds in a credit institution.</w:t>
      </w:r>
    </w:p>
    <w:p w14:paraId="574370C6" w14:textId="1029BB9D" w:rsidR="00333E26" w:rsidRPr="00107B76" w:rsidRDefault="00333E26" w:rsidP="00AE2ED8">
      <w:pPr>
        <w:pStyle w:val="ListParagraph"/>
        <w:numPr>
          <w:ilvl w:val="1"/>
          <w:numId w:val="3"/>
        </w:numPr>
        <w:autoSpaceDE w:val="0"/>
        <w:autoSpaceDN w:val="0"/>
        <w:adjustRightInd w:val="0"/>
        <w:ind w:left="0" w:firstLine="709"/>
        <w:jc w:val="both"/>
        <w:rPr>
          <w:lang w:val="en-GB"/>
        </w:rPr>
      </w:pPr>
      <w:r w:rsidRPr="00107B76">
        <w:rPr>
          <w:lang w:val="en-GB"/>
        </w:rPr>
        <w:t>An advance payment:</w:t>
      </w:r>
    </w:p>
    <w:p w14:paraId="514A4B59" w14:textId="3F70BAE7" w:rsidR="00333E26" w:rsidRPr="00107B76" w:rsidRDefault="00333E26" w:rsidP="00AE2ED8">
      <w:pPr>
        <w:pStyle w:val="ListParagraph"/>
        <w:numPr>
          <w:ilvl w:val="2"/>
          <w:numId w:val="3"/>
        </w:numPr>
        <w:tabs>
          <w:tab w:val="left" w:pos="1134"/>
          <w:tab w:val="left" w:pos="1418"/>
        </w:tabs>
        <w:autoSpaceDE w:val="0"/>
        <w:autoSpaceDN w:val="0"/>
        <w:adjustRightInd w:val="0"/>
        <w:ind w:left="0" w:firstLine="709"/>
        <w:jc w:val="both"/>
        <w:rPr>
          <w:lang w:val="en-GB"/>
        </w:rPr>
      </w:pPr>
      <w:r w:rsidRPr="00107B76">
        <w:rPr>
          <w:lang w:val="en-GB"/>
        </w:rPr>
        <w:t>the maximum amount of an advance payment (which shall not be higher than 30% of the total grant amount) will be determined individually in each project contract;</w:t>
      </w:r>
    </w:p>
    <w:p w14:paraId="2A3972FE" w14:textId="6FF0E72C" w:rsidR="00333E26" w:rsidRPr="00107B76" w:rsidRDefault="00333E26" w:rsidP="00AE2ED8">
      <w:pPr>
        <w:pStyle w:val="ListParagraph"/>
        <w:numPr>
          <w:ilvl w:val="2"/>
          <w:numId w:val="3"/>
        </w:numPr>
        <w:tabs>
          <w:tab w:val="left" w:pos="1134"/>
          <w:tab w:val="left" w:pos="1418"/>
        </w:tabs>
        <w:autoSpaceDE w:val="0"/>
        <w:autoSpaceDN w:val="0"/>
        <w:adjustRightInd w:val="0"/>
        <w:ind w:left="0" w:firstLine="709"/>
        <w:jc w:val="both"/>
        <w:rPr>
          <w:lang w:val="en-GB"/>
        </w:rPr>
      </w:pPr>
      <w:r w:rsidRPr="00107B76">
        <w:rPr>
          <w:lang w:val="en-GB"/>
        </w:rPr>
        <w:t>insurance document for an advance payment (a bank guarantee, surety letter or other relevant documents) will have to be submitted for the whole amount of an advance payment;</w:t>
      </w:r>
    </w:p>
    <w:p w14:paraId="78FD560F" w14:textId="4349173E" w:rsidR="00333E26" w:rsidRPr="00107B76" w:rsidRDefault="00333E26" w:rsidP="00AE2ED8">
      <w:pPr>
        <w:pStyle w:val="ListParagraph"/>
        <w:numPr>
          <w:ilvl w:val="2"/>
          <w:numId w:val="3"/>
        </w:numPr>
        <w:tabs>
          <w:tab w:val="left" w:pos="1134"/>
          <w:tab w:val="left" w:pos="1418"/>
        </w:tabs>
        <w:autoSpaceDE w:val="0"/>
        <w:autoSpaceDN w:val="0"/>
        <w:adjustRightInd w:val="0"/>
        <w:ind w:left="0" w:firstLine="709"/>
        <w:jc w:val="both"/>
        <w:rPr>
          <w:lang w:val="en-GB"/>
        </w:rPr>
      </w:pPr>
      <w:r w:rsidRPr="00107B76">
        <w:rPr>
          <w:lang w:val="en-GB"/>
        </w:rPr>
        <w:t>set-off of an advance payment will have to be started when a total amount of an advance payment and grant amount already paid to a project has achieved no more than 90 % of a project grant.</w:t>
      </w:r>
    </w:p>
    <w:p w14:paraId="29DB6AD9" w14:textId="1B2F06BF" w:rsidR="00333E26" w:rsidRPr="00107B76" w:rsidRDefault="00333E26" w:rsidP="00AE2ED8">
      <w:pPr>
        <w:pStyle w:val="ListParagraph"/>
        <w:numPr>
          <w:ilvl w:val="1"/>
          <w:numId w:val="3"/>
        </w:numPr>
        <w:autoSpaceDE w:val="0"/>
        <w:autoSpaceDN w:val="0"/>
        <w:adjustRightInd w:val="0"/>
        <w:ind w:left="0" w:firstLine="709"/>
        <w:jc w:val="both"/>
        <w:rPr>
          <w:lang w:val="en-GB"/>
        </w:rPr>
      </w:pPr>
      <w:r w:rsidRPr="00107B76">
        <w:rPr>
          <w:lang w:val="en-GB"/>
        </w:rPr>
        <w:t>Interim payments:</w:t>
      </w:r>
    </w:p>
    <w:p w14:paraId="619EC1CD" w14:textId="1D2E82B8" w:rsidR="00333E26" w:rsidRPr="00107B76" w:rsidRDefault="00333E26" w:rsidP="00AE2ED8">
      <w:pPr>
        <w:pStyle w:val="ListParagraph"/>
        <w:numPr>
          <w:ilvl w:val="2"/>
          <w:numId w:val="3"/>
        </w:numPr>
        <w:tabs>
          <w:tab w:val="left" w:pos="1134"/>
          <w:tab w:val="left" w:pos="1418"/>
          <w:tab w:val="left" w:pos="1560"/>
        </w:tabs>
        <w:autoSpaceDE w:val="0"/>
        <w:autoSpaceDN w:val="0"/>
        <w:adjustRightInd w:val="0"/>
        <w:ind w:left="0" w:firstLine="709"/>
        <w:jc w:val="both"/>
        <w:rPr>
          <w:lang w:val="en-GB"/>
        </w:rPr>
      </w:pPr>
      <w:r w:rsidRPr="00107B76">
        <w:rPr>
          <w:lang w:val="en-GB"/>
        </w:rPr>
        <w:t xml:space="preserve">Interim payments will be based on verified and approved by the </w:t>
      </w:r>
      <w:r w:rsidR="000C6DB9" w:rsidRPr="00107B76">
        <w:rPr>
          <w:lang w:val="en-GB"/>
        </w:rPr>
        <w:t>MITA</w:t>
      </w:r>
      <w:r w:rsidRPr="00107B76">
        <w:rPr>
          <w:lang w:val="en-GB"/>
        </w:rPr>
        <w:t xml:space="preserve"> payment claims submitted by a </w:t>
      </w:r>
      <w:r w:rsidR="000C6DB9" w:rsidRPr="00107B76">
        <w:rPr>
          <w:lang w:val="en-GB"/>
        </w:rPr>
        <w:t>p</w:t>
      </w:r>
      <w:r w:rsidRPr="00107B76">
        <w:rPr>
          <w:lang w:val="en-GB"/>
        </w:rPr>
        <w:t xml:space="preserve">roject </w:t>
      </w:r>
      <w:r w:rsidR="000C6DB9" w:rsidRPr="00107B76">
        <w:rPr>
          <w:lang w:val="en-GB"/>
        </w:rPr>
        <w:t>p</w:t>
      </w:r>
      <w:r w:rsidRPr="00107B76">
        <w:rPr>
          <w:lang w:val="en-GB"/>
        </w:rPr>
        <w:t>romoter;</w:t>
      </w:r>
    </w:p>
    <w:p w14:paraId="4A7384F8" w14:textId="7839414B" w:rsidR="00333E26" w:rsidRPr="00107B76" w:rsidRDefault="00333E26" w:rsidP="00AE2ED8">
      <w:pPr>
        <w:pStyle w:val="ListParagraph"/>
        <w:numPr>
          <w:ilvl w:val="2"/>
          <w:numId w:val="3"/>
        </w:numPr>
        <w:tabs>
          <w:tab w:val="left" w:pos="1134"/>
          <w:tab w:val="left" w:pos="1418"/>
          <w:tab w:val="left" w:pos="1560"/>
        </w:tabs>
        <w:autoSpaceDE w:val="0"/>
        <w:autoSpaceDN w:val="0"/>
        <w:adjustRightInd w:val="0"/>
        <w:ind w:left="0" w:firstLine="709"/>
        <w:jc w:val="both"/>
        <w:rPr>
          <w:lang w:val="en-GB"/>
        </w:rPr>
      </w:pPr>
      <w:r w:rsidRPr="00543EDF">
        <w:rPr>
          <w:lang w:val="en-GB"/>
        </w:rPr>
        <w:t>interim payment</w:t>
      </w:r>
      <w:r w:rsidR="00472142" w:rsidRPr="00543EDF">
        <w:rPr>
          <w:lang w:val="en-GB"/>
        </w:rPr>
        <w:t xml:space="preserve"> claims</w:t>
      </w:r>
      <w:r w:rsidRPr="00543EDF">
        <w:rPr>
          <w:lang w:val="en-GB"/>
        </w:rPr>
        <w:t xml:space="preserve"> will</w:t>
      </w:r>
      <w:r w:rsidRPr="00107B76">
        <w:rPr>
          <w:lang w:val="en-GB"/>
        </w:rPr>
        <w:t xml:space="preserve"> have to be submitted every three months. In some cases, if the amount of an interim payment claim is bigger than €3 000, a </w:t>
      </w:r>
      <w:r w:rsidR="000C6DB9" w:rsidRPr="00107B76">
        <w:rPr>
          <w:lang w:val="en-GB"/>
        </w:rPr>
        <w:t>p</w:t>
      </w:r>
      <w:r w:rsidRPr="00107B76">
        <w:rPr>
          <w:lang w:val="en-GB"/>
        </w:rPr>
        <w:t xml:space="preserve">roject </w:t>
      </w:r>
      <w:r w:rsidR="000C6DB9" w:rsidRPr="00107B76">
        <w:rPr>
          <w:lang w:val="en-GB"/>
        </w:rPr>
        <w:t>p</w:t>
      </w:r>
      <w:r w:rsidRPr="00107B76">
        <w:rPr>
          <w:lang w:val="en-GB"/>
        </w:rPr>
        <w:t>romoter might be allowed to submit a payment claim more frequently;</w:t>
      </w:r>
    </w:p>
    <w:p w14:paraId="4CC0EB6B" w14:textId="19F99935" w:rsidR="00333E26" w:rsidRPr="00107B76" w:rsidRDefault="00333E26" w:rsidP="00AE2ED8">
      <w:pPr>
        <w:pStyle w:val="ListParagraph"/>
        <w:numPr>
          <w:ilvl w:val="2"/>
          <w:numId w:val="3"/>
        </w:numPr>
        <w:tabs>
          <w:tab w:val="left" w:pos="1134"/>
          <w:tab w:val="left" w:pos="1418"/>
          <w:tab w:val="left" w:pos="1560"/>
        </w:tabs>
        <w:autoSpaceDE w:val="0"/>
        <w:autoSpaceDN w:val="0"/>
        <w:adjustRightInd w:val="0"/>
        <w:ind w:left="0" w:firstLine="709"/>
        <w:jc w:val="both"/>
        <w:rPr>
          <w:lang w:val="en-GB"/>
        </w:rPr>
      </w:pPr>
      <w:r w:rsidRPr="00107B76">
        <w:rPr>
          <w:lang w:val="en-GB"/>
        </w:rPr>
        <w:t xml:space="preserve">interim payments will be based on reimbursement of expenditure. In some cases, a </w:t>
      </w:r>
      <w:r w:rsidR="000C6DB9" w:rsidRPr="00107B76">
        <w:rPr>
          <w:lang w:val="en-GB"/>
        </w:rPr>
        <w:t>p</w:t>
      </w:r>
      <w:r w:rsidRPr="00107B76">
        <w:rPr>
          <w:lang w:val="en-GB"/>
        </w:rPr>
        <w:t xml:space="preserve">roject </w:t>
      </w:r>
      <w:r w:rsidR="000C6DB9" w:rsidRPr="00107B76">
        <w:rPr>
          <w:lang w:val="en-GB"/>
        </w:rPr>
        <w:t>p</w:t>
      </w:r>
      <w:r w:rsidRPr="00107B76">
        <w:rPr>
          <w:lang w:val="en-GB"/>
        </w:rPr>
        <w:t xml:space="preserve">romoter might be permitted to include received but not yet paid invoices into a payment claim. Such payment method will be specified in </w:t>
      </w:r>
      <w:r w:rsidR="002046FB" w:rsidRPr="00107B76">
        <w:rPr>
          <w:lang w:val="en-GB"/>
        </w:rPr>
        <w:t>the</w:t>
      </w:r>
      <w:r w:rsidRPr="00107B76">
        <w:rPr>
          <w:lang w:val="en-GB"/>
        </w:rPr>
        <w:t xml:space="preserve"> project contract. </w:t>
      </w:r>
    </w:p>
    <w:p w14:paraId="46C496C9" w14:textId="6ABD8B10" w:rsidR="00333E26" w:rsidRPr="00107B76" w:rsidRDefault="00333E26" w:rsidP="00AE2ED8">
      <w:pPr>
        <w:pStyle w:val="ListParagraph"/>
        <w:numPr>
          <w:ilvl w:val="1"/>
          <w:numId w:val="3"/>
        </w:numPr>
        <w:tabs>
          <w:tab w:val="left" w:pos="1134"/>
          <w:tab w:val="left" w:pos="1276"/>
          <w:tab w:val="left" w:pos="1418"/>
        </w:tabs>
        <w:autoSpaceDE w:val="0"/>
        <w:autoSpaceDN w:val="0"/>
        <w:adjustRightInd w:val="0"/>
        <w:ind w:left="0" w:firstLine="709"/>
        <w:jc w:val="both"/>
        <w:rPr>
          <w:lang w:val="en-GB"/>
        </w:rPr>
      </w:pPr>
      <w:r w:rsidRPr="00107B76">
        <w:rPr>
          <w:lang w:val="en-GB"/>
        </w:rPr>
        <w:t>The final payment claim shall be presented not later than within 20 working days after the completion of the project.</w:t>
      </w:r>
    </w:p>
    <w:p w14:paraId="074227BB" w14:textId="6A965CCD" w:rsidR="006D6696" w:rsidRPr="00107B76" w:rsidRDefault="00DE2689" w:rsidP="00AE2ED8">
      <w:pPr>
        <w:pStyle w:val="ListParagraph"/>
        <w:numPr>
          <w:ilvl w:val="0"/>
          <w:numId w:val="3"/>
        </w:numPr>
        <w:tabs>
          <w:tab w:val="left" w:pos="1134"/>
        </w:tabs>
        <w:autoSpaceDE w:val="0"/>
        <w:autoSpaceDN w:val="0"/>
        <w:adjustRightInd w:val="0"/>
        <w:ind w:left="0" w:firstLine="709"/>
        <w:jc w:val="both"/>
        <w:rPr>
          <w:color w:val="000000"/>
          <w:lang w:val="en-GB"/>
        </w:rPr>
      </w:pPr>
      <w:r w:rsidRPr="00107B76">
        <w:rPr>
          <w:color w:val="000000"/>
          <w:lang w:val="en-GB"/>
        </w:rPr>
        <w:t>O</w:t>
      </w:r>
      <w:r w:rsidR="001911D1" w:rsidRPr="00107B76">
        <w:rPr>
          <w:color w:val="000000"/>
          <w:lang w:val="en-GB"/>
        </w:rPr>
        <w:t>n-</w:t>
      </w:r>
      <w:r w:rsidR="00543EDF">
        <w:rPr>
          <w:color w:val="000000"/>
          <w:lang w:val="en-GB"/>
        </w:rPr>
        <w:t xml:space="preserve">the-spot verification </w:t>
      </w:r>
      <w:r w:rsidR="001911D1" w:rsidRPr="00107B76">
        <w:rPr>
          <w:color w:val="000000"/>
          <w:lang w:val="en-GB"/>
        </w:rPr>
        <w:t xml:space="preserve">visits </w:t>
      </w:r>
      <w:r w:rsidRPr="00107B76">
        <w:rPr>
          <w:color w:val="000000"/>
          <w:lang w:val="en-GB"/>
        </w:rPr>
        <w:t xml:space="preserve">are </w:t>
      </w:r>
      <w:r w:rsidR="006661B0" w:rsidRPr="00107B76">
        <w:rPr>
          <w:color w:val="000000"/>
          <w:lang w:val="en-GB"/>
        </w:rPr>
        <w:t>carrie</w:t>
      </w:r>
      <w:r w:rsidR="00485FC8" w:rsidRPr="00107B76">
        <w:rPr>
          <w:color w:val="000000"/>
          <w:lang w:val="en-GB"/>
        </w:rPr>
        <w:t>d</w:t>
      </w:r>
      <w:r w:rsidR="006661B0" w:rsidRPr="00107B76">
        <w:rPr>
          <w:color w:val="000000"/>
          <w:lang w:val="en-GB"/>
        </w:rPr>
        <w:t xml:space="preserve"> out in line with</w:t>
      </w:r>
      <w:r w:rsidR="00E55E2C" w:rsidRPr="00107B76">
        <w:rPr>
          <w:color w:val="000000"/>
          <w:lang w:val="en-GB"/>
        </w:rPr>
        <w:t xml:space="preserve"> </w:t>
      </w:r>
      <w:r w:rsidR="00233CEF" w:rsidRPr="00107B76">
        <w:rPr>
          <w:color w:val="000000"/>
          <w:lang w:val="en-GB"/>
        </w:rPr>
        <w:t>Chapter X</w:t>
      </w:r>
      <w:r w:rsidR="00CA6EEB" w:rsidRPr="00107B76">
        <w:rPr>
          <w:color w:val="000000"/>
          <w:lang w:val="en-GB"/>
        </w:rPr>
        <w:t>X</w:t>
      </w:r>
      <w:r w:rsidR="00233CEF" w:rsidRPr="00107B76">
        <w:rPr>
          <w:color w:val="000000"/>
          <w:lang w:val="en-GB"/>
        </w:rPr>
        <w:t xml:space="preserve"> of </w:t>
      </w:r>
      <w:r w:rsidR="00832A56" w:rsidRPr="00107B76">
        <w:rPr>
          <w:color w:val="000000"/>
          <w:lang w:val="en-GB"/>
        </w:rPr>
        <w:t>the National Rules</w:t>
      </w:r>
      <w:r w:rsidR="005C64E0" w:rsidRPr="00107B76">
        <w:rPr>
          <w:color w:val="000000"/>
          <w:lang w:val="en-GB"/>
        </w:rPr>
        <w:t>.</w:t>
      </w:r>
    </w:p>
    <w:p w14:paraId="5C15094D" w14:textId="5464674D" w:rsidR="00442F07" w:rsidRPr="00107B76" w:rsidRDefault="00411B91" w:rsidP="00AE2ED8">
      <w:pPr>
        <w:pStyle w:val="ListParagraph"/>
        <w:numPr>
          <w:ilvl w:val="0"/>
          <w:numId w:val="3"/>
        </w:numPr>
        <w:tabs>
          <w:tab w:val="left" w:pos="1134"/>
        </w:tabs>
        <w:autoSpaceDE w:val="0"/>
        <w:autoSpaceDN w:val="0"/>
        <w:adjustRightInd w:val="0"/>
        <w:ind w:left="0" w:firstLine="709"/>
        <w:jc w:val="both"/>
        <w:rPr>
          <w:color w:val="000000"/>
          <w:lang w:val="en-GB"/>
        </w:rPr>
      </w:pPr>
      <w:r w:rsidRPr="00107B76">
        <w:rPr>
          <w:color w:val="000000"/>
          <w:lang w:val="en-GB"/>
        </w:rPr>
        <w:t xml:space="preserve">While implementing a project, </w:t>
      </w:r>
      <w:r w:rsidR="00AD3D43" w:rsidRPr="00107B76">
        <w:rPr>
          <w:color w:val="000000"/>
          <w:lang w:val="en-GB"/>
        </w:rPr>
        <w:t xml:space="preserve">a </w:t>
      </w:r>
      <w:r w:rsidRPr="00107B76">
        <w:rPr>
          <w:color w:val="000000"/>
          <w:lang w:val="en-GB"/>
        </w:rPr>
        <w:t>P</w:t>
      </w:r>
      <w:r w:rsidR="00442F07" w:rsidRPr="00107B76">
        <w:rPr>
          <w:color w:val="000000"/>
          <w:lang w:val="en-GB"/>
        </w:rPr>
        <w:t>roject Promoter</w:t>
      </w:r>
      <w:r w:rsidR="00CC3E8B" w:rsidRPr="00107B76">
        <w:rPr>
          <w:color w:val="000000"/>
          <w:lang w:val="en-GB"/>
        </w:rPr>
        <w:t xml:space="preserve"> and partners </w:t>
      </w:r>
      <w:r w:rsidRPr="00107B76">
        <w:rPr>
          <w:color w:val="000000"/>
          <w:lang w:val="en-GB"/>
        </w:rPr>
        <w:t>h</w:t>
      </w:r>
      <w:r w:rsidR="00844DE8" w:rsidRPr="00107B76">
        <w:rPr>
          <w:color w:val="000000"/>
          <w:lang w:val="en-GB"/>
        </w:rPr>
        <w:t>a</w:t>
      </w:r>
      <w:r w:rsidRPr="00107B76">
        <w:rPr>
          <w:color w:val="000000"/>
          <w:lang w:val="en-GB"/>
        </w:rPr>
        <w:t xml:space="preserve">ve to </w:t>
      </w:r>
      <w:r w:rsidR="00EC2C9C" w:rsidRPr="00107B76">
        <w:rPr>
          <w:color w:val="000000"/>
          <w:lang w:val="en-GB"/>
        </w:rPr>
        <w:t xml:space="preserve">carry out </w:t>
      </w:r>
      <w:r w:rsidR="00BA456C" w:rsidRPr="00107B76">
        <w:rPr>
          <w:color w:val="000000"/>
          <w:lang w:val="en-GB"/>
        </w:rPr>
        <w:t>information and publicity activities</w:t>
      </w:r>
      <w:r w:rsidR="000A1343" w:rsidRPr="00107B76">
        <w:rPr>
          <w:color w:val="000000"/>
          <w:lang w:val="en-GB"/>
        </w:rPr>
        <w:t xml:space="preserve">, set in </w:t>
      </w:r>
      <w:r w:rsidR="00230293" w:rsidRPr="00107B76">
        <w:rPr>
          <w:color w:val="000000"/>
          <w:lang w:val="en-GB"/>
        </w:rPr>
        <w:t xml:space="preserve">Chapter XVIII of </w:t>
      </w:r>
      <w:r w:rsidR="00832A56" w:rsidRPr="00107B76">
        <w:rPr>
          <w:color w:val="000000"/>
          <w:lang w:val="en-GB"/>
        </w:rPr>
        <w:t>the National Rules</w:t>
      </w:r>
      <w:r w:rsidR="00332CC0" w:rsidRPr="00107B76">
        <w:rPr>
          <w:color w:val="000000"/>
          <w:lang w:val="en-GB"/>
        </w:rPr>
        <w:t>.</w:t>
      </w:r>
    </w:p>
    <w:p w14:paraId="21796920" w14:textId="77777777" w:rsidR="006B1134" w:rsidRPr="00107B76" w:rsidRDefault="006B1134" w:rsidP="000F2FB6">
      <w:pPr>
        <w:rPr>
          <w:b/>
          <w:bCs/>
          <w:color w:val="000000"/>
          <w:lang w:val="en-GB"/>
        </w:rPr>
      </w:pPr>
    </w:p>
    <w:p w14:paraId="72C972A7" w14:textId="347FAF6B" w:rsidR="00D254F1" w:rsidRPr="00107B76" w:rsidRDefault="002B0558" w:rsidP="005709A8">
      <w:pPr>
        <w:ind w:firstLine="709"/>
        <w:jc w:val="center"/>
        <w:rPr>
          <w:b/>
          <w:bCs/>
          <w:color w:val="000000"/>
          <w:lang w:val="en-GB"/>
        </w:rPr>
      </w:pPr>
      <w:r w:rsidRPr="00107B76">
        <w:rPr>
          <w:b/>
          <w:bCs/>
          <w:color w:val="000000"/>
          <w:lang w:val="en-GB"/>
        </w:rPr>
        <w:t>CHAPTER VII</w:t>
      </w:r>
    </w:p>
    <w:p w14:paraId="68829F0B" w14:textId="49C2AE84" w:rsidR="00CC7771" w:rsidRPr="00107B76" w:rsidRDefault="005760FC" w:rsidP="005709A8">
      <w:pPr>
        <w:pStyle w:val="ListParagraph"/>
        <w:ind w:left="0" w:firstLine="709"/>
        <w:contextualSpacing w:val="0"/>
        <w:jc w:val="center"/>
        <w:rPr>
          <w:b/>
          <w:bCs/>
          <w:lang w:val="en-GB"/>
        </w:rPr>
      </w:pPr>
      <w:r w:rsidRPr="00107B76">
        <w:rPr>
          <w:b/>
          <w:bCs/>
          <w:lang w:val="en-GB"/>
        </w:rPr>
        <w:t>FINAL PROVISIONS</w:t>
      </w:r>
    </w:p>
    <w:p w14:paraId="4CADD924" w14:textId="77777777" w:rsidR="006B1134" w:rsidRPr="00107B76" w:rsidRDefault="006B1134" w:rsidP="005709A8">
      <w:pPr>
        <w:pStyle w:val="ListParagraph"/>
        <w:ind w:left="0" w:firstLine="709"/>
        <w:contextualSpacing w:val="0"/>
        <w:jc w:val="center"/>
        <w:rPr>
          <w:b/>
          <w:bCs/>
          <w:lang w:val="en-GB"/>
        </w:rPr>
      </w:pPr>
    </w:p>
    <w:p w14:paraId="4CEB8FA3" w14:textId="6DCC7942" w:rsidR="00920538" w:rsidRPr="00107B76" w:rsidRDefault="00426E43" w:rsidP="00AE2ED8">
      <w:pPr>
        <w:pStyle w:val="ListParagraph"/>
        <w:numPr>
          <w:ilvl w:val="0"/>
          <w:numId w:val="3"/>
        </w:numPr>
        <w:tabs>
          <w:tab w:val="left" w:pos="993"/>
          <w:tab w:val="left" w:pos="1134"/>
        </w:tabs>
        <w:autoSpaceDE w:val="0"/>
        <w:autoSpaceDN w:val="0"/>
        <w:adjustRightInd w:val="0"/>
        <w:ind w:left="0" w:firstLine="709"/>
        <w:jc w:val="both"/>
        <w:rPr>
          <w:color w:val="000000"/>
          <w:lang w:val="en-GB"/>
        </w:rPr>
      </w:pPr>
      <w:r w:rsidRPr="00107B76">
        <w:rPr>
          <w:color w:val="000000"/>
          <w:lang w:val="en-GB"/>
        </w:rPr>
        <w:t xml:space="preserve">Applicants and Project Promoters have </w:t>
      </w:r>
      <w:r w:rsidR="004E096B" w:rsidRPr="00107B76">
        <w:rPr>
          <w:color w:val="000000"/>
          <w:lang w:val="en-GB"/>
        </w:rPr>
        <w:t>a right to chall</w:t>
      </w:r>
      <w:r w:rsidR="00FF4F32" w:rsidRPr="00107B76">
        <w:rPr>
          <w:color w:val="000000"/>
          <w:lang w:val="en-GB"/>
        </w:rPr>
        <w:t>enge</w:t>
      </w:r>
      <w:r w:rsidR="004E096B" w:rsidRPr="00107B76">
        <w:rPr>
          <w:color w:val="000000"/>
          <w:lang w:val="en-GB"/>
        </w:rPr>
        <w:t xml:space="preserve"> MITA </w:t>
      </w:r>
      <w:r w:rsidR="00412342" w:rsidRPr="00107B76">
        <w:rPr>
          <w:color w:val="000000"/>
          <w:lang w:val="en-GB"/>
        </w:rPr>
        <w:t>decisions</w:t>
      </w:r>
      <w:r w:rsidR="00FF4F32" w:rsidRPr="00107B76">
        <w:rPr>
          <w:color w:val="000000"/>
          <w:lang w:val="en-GB"/>
        </w:rPr>
        <w:t xml:space="preserve"> </w:t>
      </w:r>
      <w:r w:rsidR="00AC6F40" w:rsidRPr="00107B76">
        <w:rPr>
          <w:color w:val="000000"/>
          <w:lang w:val="en-GB"/>
        </w:rPr>
        <w:t>and</w:t>
      </w:r>
      <w:r w:rsidR="00FF4F32" w:rsidRPr="00107B76">
        <w:rPr>
          <w:color w:val="000000"/>
          <w:lang w:val="en-GB"/>
        </w:rPr>
        <w:t xml:space="preserve"> </w:t>
      </w:r>
      <w:r w:rsidR="00BA3149" w:rsidRPr="00107B76">
        <w:rPr>
          <w:color w:val="000000"/>
          <w:lang w:val="en-GB"/>
        </w:rPr>
        <w:t>acts (</w:t>
      </w:r>
      <w:r w:rsidR="00AC6F40" w:rsidRPr="00107B76">
        <w:rPr>
          <w:color w:val="000000"/>
          <w:lang w:val="en-GB"/>
        </w:rPr>
        <w:t xml:space="preserve">or </w:t>
      </w:r>
      <w:r w:rsidR="00BA3149" w:rsidRPr="00107B76">
        <w:rPr>
          <w:color w:val="000000"/>
          <w:lang w:val="en-GB"/>
        </w:rPr>
        <w:t>omissions)</w:t>
      </w:r>
      <w:r w:rsidR="00F15E12" w:rsidRPr="00107B76">
        <w:rPr>
          <w:color w:val="000000"/>
          <w:lang w:val="en-GB"/>
        </w:rPr>
        <w:t xml:space="preserve"> befor</w:t>
      </w:r>
      <w:r w:rsidR="00C46AC1" w:rsidRPr="00107B76">
        <w:rPr>
          <w:color w:val="000000"/>
          <w:lang w:val="en-GB"/>
        </w:rPr>
        <w:t>e</w:t>
      </w:r>
      <w:r w:rsidR="009C41AB" w:rsidRPr="00107B76">
        <w:rPr>
          <w:color w:val="000000"/>
          <w:lang w:val="en-GB"/>
        </w:rPr>
        <w:t xml:space="preserve"> </w:t>
      </w:r>
      <w:r w:rsidR="00C53F7A" w:rsidRPr="00107B76">
        <w:rPr>
          <w:color w:val="000000"/>
          <w:lang w:val="en-GB"/>
        </w:rPr>
        <w:t>the</w:t>
      </w:r>
      <w:r w:rsidR="009C41AB" w:rsidRPr="00107B76">
        <w:rPr>
          <w:color w:val="000000"/>
          <w:lang w:val="en-GB"/>
        </w:rPr>
        <w:t xml:space="preserve"> Administrative Dis</w:t>
      </w:r>
      <w:r w:rsidR="00CA2327" w:rsidRPr="00107B76">
        <w:rPr>
          <w:color w:val="000000"/>
          <w:lang w:val="en-GB"/>
        </w:rPr>
        <w:t>p</w:t>
      </w:r>
      <w:r w:rsidR="009C41AB" w:rsidRPr="00107B76">
        <w:rPr>
          <w:color w:val="000000"/>
          <w:lang w:val="en-GB"/>
        </w:rPr>
        <w:t>utes Com</w:t>
      </w:r>
      <w:r w:rsidR="00CA2327" w:rsidRPr="00107B76">
        <w:rPr>
          <w:color w:val="000000"/>
          <w:lang w:val="en-GB"/>
        </w:rPr>
        <w:t>m</w:t>
      </w:r>
      <w:r w:rsidR="009C41AB" w:rsidRPr="00107B76">
        <w:rPr>
          <w:color w:val="000000"/>
          <w:lang w:val="en-GB"/>
        </w:rPr>
        <w:t xml:space="preserve">ission of </w:t>
      </w:r>
      <w:r w:rsidR="00C53F7A" w:rsidRPr="00107B76">
        <w:rPr>
          <w:color w:val="000000"/>
          <w:lang w:val="en-GB"/>
        </w:rPr>
        <w:t>the</w:t>
      </w:r>
      <w:r w:rsidR="009C41AB" w:rsidRPr="00107B76">
        <w:rPr>
          <w:color w:val="000000"/>
          <w:lang w:val="en-GB"/>
        </w:rPr>
        <w:t xml:space="preserve"> Republic of Lithuania</w:t>
      </w:r>
      <w:r w:rsidR="00B96943" w:rsidRPr="00107B76">
        <w:rPr>
          <w:color w:val="000000"/>
          <w:lang w:val="en-GB"/>
        </w:rPr>
        <w:t xml:space="preserve"> </w:t>
      </w:r>
      <w:r w:rsidR="00C53F7A" w:rsidRPr="00107B76">
        <w:rPr>
          <w:color w:val="000000"/>
          <w:lang w:val="en-GB"/>
        </w:rPr>
        <w:t>or</w:t>
      </w:r>
      <w:r w:rsidR="00B96943" w:rsidRPr="00107B76">
        <w:rPr>
          <w:color w:val="000000"/>
          <w:lang w:val="en-GB"/>
        </w:rPr>
        <w:t xml:space="preserve"> Vilnius Regional </w:t>
      </w:r>
      <w:r w:rsidR="007B2731" w:rsidRPr="00107B76">
        <w:rPr>
          <w:color w:val="000000"/>
          <w:lang w:val="en-GB"/>
        </w:rPr>
        <w:t>Administrative Court.</w:t>
      </w:r>
    </w:p>
    <w:p w14:paraId="071FE834" w14:textId="5D8BEA4C" w:rsidR="00C44951" w:rsidRPr="00107B76" w:rsidRDefault="00CC34B1" w:rsidP="00AE2ED8">
      <w:pPr>
        <w:pStyle w:val="ListParagraph"/>
        <w:numPr>
          <w:ilvl w:val="0"/>
          <w:numId w:val="3"/>
        </w:numPr>
        <w:tabs>
          <w:tab w:val="left" w:pos="993"/>
          <w:tab w:val="left" w:pos="1134"/>
        </w:tabs>
        <w:autoSpaceDE w:val="0"/>
        <w:autoSpaceDN w:val="0"/>
        <w:adjustRightInd w:val="0"/>
        <w:ind w:left="0" w:firstLine="709"/>
        <w:jc w:val="both"/>
        <w:rPr>
          <w:color w:val="000000"/>
          <w:lang w:val="en-GB"/>
        </w:rPr>
      </w:pPr>
      <w:r w:rsidRPr="00107B76">
        <w:rPr>
          <w:color w:val="000000"/>
          <w:lang w:val="en-GB"/>
        </w:rPr>
        <w:t xml:space="preserve"> </w:t>
      </w:r>
      <w:r w:rsidR="0036721D" w:rsidRPr="00107B76">
        <w:rPr>
          <w:color w:val="000000"/>
          <w:lang w:val="en-GB"/>
        </w:rPr>
        <w:t>A</w:t>
      </w:r>
      <w:r w:rsidR="00C44951" w:rsidRPr="00107B76">
        <w:rPr>
          <w:color w:val="000000"/>
          <w:lang w:val="en-GB"/>
        </w:rPr>
        <w:t>ll</w:t>
      </w:r>
      <w:r w:rsidR="0036721D" w:rsidRPr="00107B76">
        <w:rPr>
          <w:color w:val="000000"/>
          <w:lang w:val="en-GB"/>
        </w:rPr>
        <w:t xml:space="preserve"> the documents related to project </w:t>
      </w:r>
      <w:r w:rsidR="00BF6478" w:rsidRPr="00107B76">
        <w:rPr>
          <w:color w:val="000000"/>
          <w:lang w:val="en-GB"/>
        </w:rPr>
        <w:t>implementation</w:t>
      </w:r>
      <w:r w:rsidR="0036721D" w:rsidRPr="00107B76">
        <w:rPr>
          <w:color w:val="000000"/>
          <w:lang w:val="en-GB"/>
        </w:rPr>
        <w:t xml:space="preserve"> shall </w:t>
      </w:r>
      <w:r w:rsidR="0067263D" w:rsidRPr="00107B76">
        <w:rPr>
          <w:color w:val="000000"/>
          <w:lang w:val="en-GB"/>
        </w:rPr>
        <w:t xml:space="preserve">be kept </w:t>
      </w:r>
      <w:r w:rsidR="004E24E4" w:rsidRPr="00107B76">
        <w:rPr>
          <w:color w:val="000000"/>
          <w:lang w:val="en-GB"/>
        </w:rPr>
        <w:t xml:space="preserve">in line with the procedure </w:t>
      </w:r>
      <w:r w:rsidR="002C354A" w:rsidRPr="00107B76">
        <w:rPr>
          <w:color w:val="000000"/>
          <w:lang w:val="en-GB"/>
        </w:rPr>
        <w:t>presented</w:t>
      </w:r>
      <w:r w:rsidR="00C67520" w:rsidRPr="00107B76">
        <w:rPr>
          <w:color w:val="000000"/>
          <w:lang w:val="en-GB"/>
        </w:rPr>
        <w:t xml:space="preserve"> in Chapter XXVI of </w:t>
      </w:r>
      <w:r w:rsidR="00832A56" w:rsidRPr="00107B76">
        <w:rPr>
          <w:color w:val="000000"/>
          <w:lang w:val="en-GB"/>
        </w:rPr>
        <w:t>the National Rules</w:t>
      </w:r>
      <w:r w:rsidR="00C67520" w:rsidRPr="00107B76">
        <w:rPr>
          <w:color w:val="000000"/>
          <w:lang w:val="en-GB"/>
        </w:rPr>
        <w:t>.</w:t>
      </w:r>
    </w:p>
    <w:p w14:paraId="318CA135" w14:textId="77777777" w:rsidR="00F54B55" w:rsidRDefault="00CC34B1" w:rsidP="00F54B55">
      <w:pPr>
        <w:pStyle w:val="ListParagraph"/>
        <w:numPr>
          <w:ilvl w:val="0"/>
          <w:numId w:val="3"/>
        </w:numPr>
        <w:tabs>
          <w:tab w:val="left" w:pos="993"/>
          <w:tab w:val="left" w:pos="1134"/>
        </w:tabs>
        <w:autoSpaceDE w:val="0"/>
        <w:autoSpaceDN w:val="0"/>
        <w:adjustRightInd w:val="0"/>
        <w:ind w:left="0" w:firstLine="709"/>
        <w:jc w:val="both"/>
        <w:rPr>
          <w:color w:val="000000"/>
          <w:lang w:val="en-GB"/>
        </w:rPr>
      </w:pPr>
      <w:r w:rsidRPr="00107B76">
        <w:rPr>
          <w:color w:val="000000"/>
          <w:lang w:val="en-GB"/>
        </w:rPr>
        <w:t xml:space="preserve"> </w:t>
      </w:r>
      <w:r w:rsidR="00865C42" w:rsidRPr="00107B76">
        <w:rPr>
          <w:color w:val="000000"/>
          <w:lang w:val="en-GB"/>
        </w:rPr>
        <w:t>By su</w:t>
      </w:r>
      <w:r w:rsidR="002C354A" w:rsidRPr="00107B76">
        <w:rPr>
          <w:color w:val="000000"/>
          <w:lang w:val="en-GB"/>
        </w:rPr>
        <w:t>b</w:t>
      </w:r>
      <w:r w:rsidR="00865C42" w:rsidRPr="00107B76">
        <w:rPr>
          <w:color w:val="000000"/>
          <w:lang w:val="en-GB"/>
        </w:rPr>
        <w:t>mitting an applic</w:t>
      </w:r>
      <w:r w:rsidR="002C354A" w:rsidRPr="00107B76">
        <w:rPr>
          <w:color w:val="000000"/>
          <w:lang w:val="en-GB"/>
        </w:rPr>
        <w:t>a</w:t>
      </w:r>
      <w:r w:rsidR="00865C42" w:rsidRPr="00107B76">
        <w:rPr>
          <w:color w:val="000000"/>
          <w:lang w:val="en-GB"/>
        </w:rPr>
        <w:t xml:space="preserve">tion, </w:t>
      </w:r>
      <w:r w:rsidR="00001634" w:rsidRPr="00107B76">
        <w:rPr>
          <w:color w:val="000000"/>
          <w:lang w:val="en-GB"/>
        </w:rPr>
        <w:t>a</w:t>
      </w:r>
      <w:r w:rsidR="002C354A" w:rsidRPr="00107B76">
        <w:rPr>
          <w:color w:val="000000"/>
          <w:lang w:val="en-GB"/>
        </w:rPr>
        <w:t>n</w:t>
      </w:r>
      <w:r w:rsidR="00001634" w:rsidRPr="00107B76">
        <w:rPr>
          <w:color w:val="000000"/>
          <w:lang w:val="en-GB"/>
        </w:rPr>
        <w:t xml:space="preserve"> Applicant gives his consent for </w:t>
      </w:r>
      <w:r w:rsidR="00220AAE" w:rsidRPr="00107B76">
        <w:rPr>
          <w:color w:val="000000"/>
          <w:lang w:val="en-GB"/>
        </w:rPr>
        <w:t>information provided in the applica</w:t>
      </w:r>
      <w:r w:rsidR="00413CE2" w:rsidRPr="00107B76">
        <w:rPr>
          <w:color w:val="000000"/>
          <w:lang w:val="en-GB"/>
        </w:rPr>
        <w:t>tion</w:t>
      </w:r>
      <w:r w:rsidR="00220AAE" w:rsidRPr="00107B76">
        <w:rPr>
          <w:color w:val="000000"/>
          <w:lang w:val="en-GB"/>
        </w:rPr>
        <w:t xml:space="preserve"> to be </w:t>
      </w:r>
      <w:r w:rsidR="006A100E" w:rsidRPr="00107B76">
        <w:rPr>
          <w:color w:val="000000"/>
          <w:lang w:val="en-GB"/>
        </w:rPr>
        <w:t xml:space="preserve">made public, except for the information </w:t>
      </w:r>
      <w:r w:rsidR="005A3918" w:rsidRPr="00107B76">
        <w:rPr>
          <w:color w:val="000000"/>
          <w:lang w:val="en-GB"/>
        </w:rPr>
        <w:t>which cann</w:t>
      </w:r>
      <w:r w:rsidR="00A87EFC" w:rsidRPr="00107B76">
        <w:rPr>
          <w:color w:val="000000"/>
          <w:lang w:val="en-GB"/>
        </w:rPr>
        <w:t>o</w:t>
      </w:r>
      <w:r w:rsidR="005A3918" w:rsidRPr="00107B76">
        <w:rPr>
          <w:color w:val="000000"/>
          <w:lang w:val="en-GB"/>
        </w:rPr>
        <w:t xml:space="preserve">t be </w:t>
      </w:r>
      <w:r w:rsidR="00391FAA" w:rsidRPr="00107B76">
        <w:rPr>
          <w:color w:val="000000"/>
          <w:lang w:val="en-GB"/>
        </w:rPr>
        <w:t>made public</w:t>
      </w:r>
      <w:r w:rsidR="005A3918" w:rsidRPr="00107B76">
        <w:rPr>
          <w:color w:val="000000"/>
          <w:lang w:val="en-GB"/>
        </w:rPr>
        <w:t xml:space="preserve"> </w:t>
      </w:r>
      <w:r w:rsidR="002E6239" w:rsidRPr="00107B76">
        <w:rPr>
          <w:color w:val="000000"/>
          <w:lang w:val="en-GB"/>
        </w:rPr>
        <w:t xml:space="preserve">in accordance with legislation. </w:t>
      </w:r>
    </w:p>
    <w:p w14:paraId="2FF64B4E" w14:textId="2069376B" w:rsidR="00F54B55" w:rsidRPr="009B1384" w:rsidRDefault="009B1384" w:rsidP="00F54B55">
      <w:pPr>
        <w:pStyle w:val="ListParagraph"/>
        <w:numPr>
          <w:ilvl w:val="0"/>
          <w:numId w:val="3"/>
        </w:numPr>
        <w:tabs>
          <w:tab w:val="left" w:pos="993"/>
          <w:tab w:val="left" w:pos="1134"/>
        </w:tabs>
        <w:autoSpaceDE w:val="0"/>
        <w:autoSpaceDN w:val="0"/>
        <w:adjustRightInd w:val="0"/>
        <w:ind w:left="0" w:firstLine="709"/>
        <w:jc w:val="both"/>
        <w:rPr>
          <w:color w:val="000000"/>
          <w:lang w:val="en-US"/>
        </w:rPr>
      </w:pPr>
      <w:r>
        <w:rPr>
          <w:color w:val="000000"/>
          <w:lang w:val="en-GB"/>
        </w:rPr>
        <w:t xml:space="preserve"> </w:t>
      </w:r>
      <w:r w:rsidR="00F54B55" w:rsidRPr="009B1384">
        <w:rPr>
          <w:color w:val="000000"/>
          <w:lang w:val="en-US"/>
        </w:rPr>
        <w:t xml:space="preserve">Only the data which has been submitted by an Applicant will be processed. Personal data will be handled in accordance with the Regulation (EU) 2016/679 of the European Parliament and of the Council of 27 April 2016 On the Protection of Natural Persons with Regard to the Processing of Personal Data and on the Free Movement of such Data, and Repealing Directive </w:t>
      </w:r>
      <w:r w:rsidR="00F54B55" w:rsidRPr="009B1384">
        <w:rPr>
          <w:color w:val="000000"/>
          <w:lang w:val="en-US"/>
        </w:rPr>
        <w:lastRenderedPageBreak/>
        <w:t xml:space="preserve">94/46/EC (General Data Protection Regulation). Personal data will be processed for granting of funding, accounting and auditing purposes and for validating information provided by an Applicant. Personal data related to the implementation of the </w:t>
      </w:r>
      <w:r w:rsidR="00CB3B91">
        <w:rPr>
          <w:color w:val="000000"/>
          <w:lang w:val="en-US"/>
        </w:rPr>
        <w:t>Call</w:t>
      </w:r>
      <w:r w:rsidR="00F54B55" w:rsidRPr="009B1384">
        <w:rPr>
          <w:color w:val="000000"/>
          <w:lang w:val="en-US"/>
        </w:rPr>
        <w:t xml:space="preserve"> will be processed and stored by MITA for the period of ten years since the date of receipt of the last document. While processing personal data, the rights of data subjects will be enforced in accordance with the Guidelines on Processing of Personal Data and Enforcement of the Rights of Data Subjects, approved by the order of the </w:t>
      </w:r>
      <w:r>
        <w:rPr>
          <w:color w:val="000000"/>
          <w:lang w:val="en-US"/>
        </w:rPr>
        <w:t>Director of MITA.</w:t>
      </w:r>
    </w:p>
    <w:p w14:paraId="239327B5" w14:textId="2D65E679" w:rsidR="00EA260A" w:rsidRPr="00107B76" w:rsidRDefault="00CC34B1" w:rsidP="00AE2ED8">
      <w:pPr>
        <w:pStyle w:val="ListParagraph"/>
        <w:numPr>
          <w:ilvl w:val="0"/>
          <w:numId w:val="3"/>
        </w:numPr>
        <w:tabs>
          <w:tab w:val="left" w:pos="993"/>
          <w:tab w:val="left" w:pos="1134"/>
        </w:tabs>
        <w:autoSpaceDE w:val="0"/>
        <w:autoSpaceDN w:val="0"/>
        <w:adjustRightInd w:val="0"/>
        <w:ind w:left="0" w:firstLine="709"/>
        <w:jc w:val="both"/>
        <w:rPr>
          <w:color w:val="000000"/>
          <w:lang w:val="en-GB"/>
        </w:rPr>
      </w:pPr>
      <w:r w:rsidRPr="00107B76">
        <w:rPr>
          <w:color w:val="000000"/>
          <w:lang w:val="en-GB"/>
        </w:rPr>
        <w:t xml:space="preserve"> </w:t>
      </w:r>
      <w:r w:rsidR="00EA260A" w:rsidRPr="00107B76">
        <w:rPr>
          <w:color w:val="000000"/>
          <w:lang w:val="en-GB"/>
        </w:rPr>
        <w:t xml:space="preserve">The Call </w:t>
      </w:r>
      <w:r w:rsidR="002F49EE" w:rsidRPr="00107B76">
        <w:rPr>
          <w:color w:val="000000"/>
          <w:lang w:val="en-GB"/>
        </w:rPr>
        <w:t xml:space="preserve">can be amended in line with the procedure </w:t>
      </w:r>
      <w:r w:rsidR="00B05327" w:rsidRPr="00107B76">
        <w:rPr>
          <w:color w:val="000000"/>
          <w:lang w:val="en-GB"/>
        </w:rPr>
        <w:t xml:space="preserve">described in </w:t>
      </w:r>
      <w:r w:rsidR="009C111A" w:rsidRPr="00107B76">
        <w:rPr>
          <w:color w:val="000000"/>
          <w:lang w:val="en-GB"/>
        </w:rPr>
        <w:t>Section</w:t>
      </w:r>
      <w:r w:rsidR="002124F0" w:rsidRPr="00107B76">
        <w:rPr>
          <w:color w:val="000000"/>
          <w:lang w:val="en-GB"/>
        </w:rPr>
        <w:t xml:space="preserve"> 2 of </w:t>
      </w:r>
      <w:r w:rsidR="00B05327" w:rsidRPr="00107B76">
        <w:rPr>
          <w:color w:val="000000"/>
          <w:lang w:val="en-GB"/>
        </w:rPr>
        <w:t>Chapter XVII</w:t>
      </w:r>
      <w:r w:rsidR="002124F0" w:rsidRPr="00107B76">
        <w:rPr>
          <w:color w:val="000000"/>
          <w:lang w:val="en-GB"/>
        </w:rPr>
        <w:t xml:space="preserve"> of </w:t>
      </w:r>
      <w:r w:rsidR="00832A56" w:rsidRPr="00107B76">
        <w:rPr>
          <w:color w:val="000000"/>
          <w:lang w:val="en-GB"/>
        </w:rPr>
        <w:t>the National Rules</w:t>
      </w:r>
      <w:r w:rsidR="002124F0" w:rsidRPr="00107B76">
        <w:rPr>
          <w:color w:val="000000"/>
          <w:lang w:val="en-GB"/>
        </w:rPr>
        <w:t>.</w:t>
      </w:r>
    </w:p>
    <w:p w14:paraId="49CD1682" w14:textId="77777777" w:rsidR="00865C42" w:rsidRPr="00107B76" w:rsidRDefault="00865C42" w:rsidP="00865C42">
      <w:pPr>
        <w:pStyle w:val="ListParagraph"/>
        <w:tabs>
          <w:tab w:val="left" w:pos="993"/>
          <w:tab w:val="left" w:pos="1134"/>
        </w:tabs>
        <w:autoSpaceDE w:val="0"/>
        <w:autoSpaceDN w:val="0"/>
        <w:adjustRightInd w:val="0"/>
        <w:ind w:left="360"/>
        <w:jc w:val="both"/>
        <w:rPr>
          <w:color w:val="000000"/>
          <w:lang w:val="en-GB"/>
        </w:rPr>
      </w:pPr>
    </w:p>
    <w:p w14:paraId="1A81930B" w14:textId="03CFBC92" w:rsidR="00EE3A6B" w:rsidRPr="00107B76" w:rsidRDefault="00EE3A6B" w:rsidP="00411E28">
      <w:pPr>
        <w:tabs>
          <w:tab w:val="left" w:pos="993"/>
          <w:tab w:val="left" w:pos="1134"/>
        </w:tabs>
        <w:jc w:val="both"/>
        <w:rPr>
          <w:lang w:val="en-GB"/>
        </w:rPr>
      </w:pPr>
    </w:p>
    <w:p w14:paraId="5821B690" w14:textId="77777777" w:rsidR="00107B76" w:rsidRPr="00107B76" w:rsidRDefault="00107B76">
      <w:pPr>
        <w:tabs>
          <w:tab w:val="left" w:pos="993"/>
          <w:tab w:val="left" w:pos="1134"/>
        </w:tabs>
        <w:jc w:val="both"/>
        <w:rPr>
          <w:lang w:val="en-GB"/>
        </w:rPr>
      </w:pPr>
    </w:p>
    <w:sectPr w:rsidR="00107B76" w:rsidRPr="00107B76" w:rsidSect="000950E3">
      <w:footerReference w:type="even" r:id="rId19"/>
      <w:footerReference w:type="default" r:id="rId20"/>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54AE" w14:textId="77777777" w:rsidR="00AA3B46" w:rsidRDefault="00AA3B46" w:rsidP="00452CA8">
      <w:r>
        <w:separator/>
      </w:r>
    </w:p>
  </w:endnote>
  <w:endnote w:type="continuationSeparator" w:id="0">
    <w:p w14:paraId="1F0C6E32" w14:textId="77777777" w:rsidR="00AA3B46" w:rsidRDefault="00AA3B46" w:rsidP="00452CA8">
      <w:r>
        <w:continuationSeparator/>
      </w:r>
    </w:p>
  </w:endnote>
  <w:endnote w:type="continuationNotice" w:id="1">
    <w:p w14:paraId="1234FF2F" w14:textId="77777777" w:rsidR="00AA3B46" w:rsidRDefault="00AA3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Arial0">
    <w:altName w:val="Arial Unicode MS"/>
    <w:panose1 w:val="020B0604020202020204"/>
    <w:charset w:val="81"/>
    <w:family w:val="swiss"/>
    <w:notTrueType/>
    <w:pitch w:val="variable"/>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032962"/>
      <w:docPartObj>
        <w:docPartGallery w:val="Page Numbers (Bottom of Page)"/>
        <w:docPartUnique/>
      </w:docPartObj>
    </w:sdtPr>
    <w:sdtEndPr>
      <w:rPr>
        <w:rStyle w:val="PageNumber"/>
      </w:rPr>
    </w:sdtEndPr>
    <w:sdtContent>
      <w:p w14:paraId="335C3759" w14:textId="48F25A8F" w:rsidR="00127C52" w:rsidRDefault="00127C52" w:rsidP="00095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6E2EC" w14:textId="77777777" w:rsidR="00127C52" w:rsidRDefault="0012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553074"/>
      <w:docPartObj>
        <w:docPartGallery w:val="Page Numbers (Bottom of Page)"/>
        <w:docPartUnique/>
      </w:docPartObj>
    </w:sdtPr>
    <w:sdtEndPr>
      <w:rPr>
        <w:rStyle w:val="PageNumber"/>
      </w:rPr>
    </w:sdtEndPr>
    <w:sdtContent>
      <w:p w14:paraId="4961A7BF" w14:textId="476B3A5F" w:rsidR="00127C52" w:rsidRDefault="00127C52" w:rsidP="00095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6B09BE" w14:textId="77777777" w:rsidR="00127C52" w:rsidRDefault="0012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ECDA" w14:textId="77777777" w:rsidR="00AA3B46" w:rsidRDefault="00AA3B46" w:rsidP="00452CA8">
      <w:r>
        <w:separator/>
      </w:r>
    </w:p>
  </w:footnote>
  <w:footnote w:type="continuationSeparator" w:id="0">
    <w:p w14:paraId="43F49B49" w14:textId="77777777" w:rsidR="00AA3B46" w:rsidRDefault="00AA3B46" w:rsidP="00452CA8">
      <w:r>
        <w:continuationSeparator/>
      </w:r>
    </w:p>
  </w:footnote>
  <w:footnote w:type="continuationNotice" w:id="1">
    <w:p w14:paraId="0F210827" w14:textId="77777777" w:rsidR="00AA3B46" w:rsidRDefault="00AA3B46"/>
  </w:footnote>
  <w:footnote w:id="2">
    <w:p w14:paraId="2C19F3A5" w14:textId="77777777" w:rsidR="00127C52" w:rsidRPr="00C6221E" w:rsidRDefault="00127C52" w:rsidP="00777931">
      <w:pPr>
        <w:pStyle w:val="FootnoteText"/>
      </w:pPr>
      <w:r>
        <w:rPr>
          <w:rStyle w:val="FootnoteReference"/>
        </w:rPr>
        <w:footnoteRef/>
      </w:r>
      <w:r>
        <w:t xml:space="preserve"> </w:t>
      </w:r>
      <w:hyperlink r:id="rId1" w:history="1">
        <w:r>
          <w:rPr>
            <w:rStyle w:val="Hyperlink"/>
          </w:rPr>
          <w:t>https://e-seimas.lrs.lt/portal/legalAct/lt/TAD/3a00ca517f7d11e89188e16a6495e98c?jfwid=sujoljpj4</w:t>
        </w:r>
      </w:hyperlink>
    </w:p>
  </w:footnote>
  <w:footnote w:id="3">
    <w:p w14:paraId="0E1A217C" w14:textId="56396607" w:rsidR="00127C52" w:rsidRPr="00260430" w:rsidRDefault="00127C52">
      <w:pPr>
        <w:pStyle w:val="FootnoteText"/>
      </w:pPr>
      <w:r>
        <w:rPr>
          <w:rStyle w:val="FootnoteReference"/>
        </w:rPr>
        <w:footnoteRef/>
      </w:r>
      <w:r>
        <w:t xml:space="preserve"> The value of projects from</w:t>
      </w:r>
      <w:r w:rsidRPr="00260430">
        <w:t xml:space="preserve"> 10 000 </w:t>
      </w:r>
      <w:r>
        <w:t>to</w:t>
      </w:r>
      <w:r w:rsidRPr="00260430">
        <w:t xml:space="preserve"> 200 000 Eur.</w:t>
      </w:r>
    </w:p>
  </w:footnote>
  <w:footnote w:id="4">
    <w:p w14:paraId="7CD0E320" w14:textId="4043450C" w:rsidR="00127C52" w:rsidRPr="00A559FF" w:rsidRDefault="00127C52">
      <w:pPr>
        <w:pStyle w:val="FootnoteText"/>
        <w:rPr>
          <w:lang w:val="en-US"/>
        </w:rPr>
      </w:pPr>
      <w:r>
        <w:rPr>
          <w:rStyle w:val="FootnoteReference"/>
        </w:rPr>
        <w:footnoteRef/>
      </w:r>
      <w:r>
        <w:t xml:space="preserve"> </w:t>
      </w:r>
      <w:r w:rsidRPr="00A559FF">
        <w:t>Iceland, Liechtenstein and Norway</w:t>
      </w:r>
    </w:p>
  </w:footnote>
  <w:footnote w:id="5">
    <w:p w14:paraId="7F2212B5" w14:textId="414623A8" w:rsidR="007B5E06" w:rsidRDefault="00127C52" w:rsidP="00127C52">
      <w:pPr>
        <w:pStyle w:val="FootnoteText"/>
        <w:jc w:val="both"/>
      </w:pPr>
      <w:r>
        <w:rPr>
          <w:rStyle w:val="FootnoteReference"/>
        </w:rPr>
        <w:footnoteRef/>
      </w:r>
      <w:r>
        <w:t xml:space="preserve"> </w:t>
      </w:r>
      <w:r w:rsidRPr="007B5E06">
        <w:rPr>
          <w:lang w:val="en-GB"/>
        </w:rPr>
        <w:t xml:space="preserve">During implementation of a project, standard scales of unit costs </w:t>
      </w:r>
      <w:r w:rsidR="007B5E06" w:rsidRPr="007B5E06">
        <w:rPr>
          <w:lang w:val="en-GB"/>
        </w:rPr>
        <w:t>shall</w:t>
      </w:r>
      <w:r w:rsidRPr="007B5E06">
        <w:rPr>
          <w:lang w:val="en-GB"/>
        </w:rPr>
        <w:t xml:space="preserve"> not </w:t>
      </w:r>
      <w:r w:rsidR="00ED6933">
        <w:rPr>
          <w:lang w:val="en-GB"/>
        </w:rPr>
        <w:t xml:space="preserve">be </w:t>
      </w:r>
      <w:r w:rsidRPr="007B5E06">
        <w:rPr>
          <w:lang w:val="en-GB"/>
        </w:rPr>
        <w:t>change</w:t>
      </w:r>
      <w:r w:rsidR="00ED6933">
        <w:rPr>
          <w:lang w:val="en-GB"/>
        </w:rPr>
        <w:t>d</w:t>
      </w:r>
      <w:r w:rsidRPr="007B5E06">
        <w:rPr>
          <w:lang w:val="en-GB"/>
        </w:rPr>
        <w:t xml:space="preserve">, except </w:t>
      </w:r>
      <w:r w:rsidR="007B5E06" w:rsidRPr="007B5E06">
        <w:rPr>
          <w:lang w:val="en-GB"/>
        </w:rPr>
        <w:t>in case if</w:t>
      </w:r>
      <w:r w:rsidRPr="007B5E06">
        <w:rPr>
          <w:lang w:val="en-GB"/>
        </w:rPr>
        <w:t xml:space="preserve"> </w:t>
      </w:r>
      <w:r w:rsidR="006E5849">
        <w:rPr>
          <w:lang w:val="en-GB"/>
        </w:rPr>
        <w:t xml:space="preserve">the </w:t>
      </w:r>
      <w:r w:rsidR="007B5E06" w:rsidRPr="007B5E06">
        <w:rPr>
          <w:lang w:val="en-GB"/>
        </w:rPr>
        <w:t xml:space="preserve">rate of </w:t>
      </w:r>
      <w:r w:rsidRPr="007B5E06">
        <w:rPr>
          <w:lang w:val="en-GB"/>
        </w:rPr>
        <w:t xml:space="preserve">VAT </w:t>
      </w:r>
      <w:r w:rsidR="007B5E06" w:rsidRPr="007B5E06">
        <w:rPr>
          <w:lang w:val="en-GB"/>
        </w:rPr>
        <w:t>applicable to fuel and (or) public transport changes and (</w:t>
      </w:r>
      <w:r w:rsidR="007E2278">
        <w:rPr>
          <w:lang w:val="en-GB"/>
        </w:rPr>
        <w:t>or</w:t>
      </w:r>
      <w:r w:rsidR="007B5E06" w:rsidRPr="007B5E06">
        <w:rPr>
          <w:lang w:val="en-GB"/>
        </w:rPr>
        <w:t xml:space="preserve">) </w:t>
      </w:r>
      <w:r w:rsidR="007B5E06">
        <w:rPr>
          <w:lang w:val="en-GB"/>
        </w:rPr>
        <w:t xml:space="preserve">the </w:t>
      </w:r>
      <w:r w:rsidR="007B5E06" w:rsidRPr="007B5E06">
        <w:rPr>
          <w:lang w:val="en-GB"/>
        </w:rPr>
        <w:t xml:space="preserve">National Focal Point, </w:t>
      </w:r>
      <w:r w:rsidR="007E2278">
        <w:rPr>
          <w:lang w:val="en-GB"/>
        </w:rPr>
        <w:t xml:space="preserve">the </w:t>
      </w:r>
      <w:r w:rsidR="007B5E06" w:rsidRPr="007B5E06">
        <w:rPr>
          <w:lang w:val="en-GB"/>
        </w:rPr>
        <w:t xml:space="preserve">audit institution or </w:t>
      </w:r>
      <w:r w:rsidR="006E5849">
        <w:rPr>
          <w:lang w:val="en-GB"/>
        </w:rPr>
        <w:t xml:space="preserve">any </w:t>
      </w:r>
      <w:r w:rsidR="007B5E06" w:rsidRPr="007B5E06">
        <w:rPr>
          <w:lang w:val="en-GB"/>
        </w:rPr>
        <w:t xml:space="preserve">other institutions that have carried out the audit </w:t>
      </w:r>
      <w:r w:rsidR="00ED6933">
        <w:rPr>
          <w:lang w:val="en-GB"/>
        </w:rPr>
        <w:t xml:space="preserve">(in case </w:t>
      </w:r>
      <w:r w:rsidR="007B5E06">
        <w:rPr>
          <w:lang w:val="en-GB"/>
        </w:rPr>
        <w:t xml:space="preserve">the methods </w:t>
      </w:r>
      <w:r w:rsidR="006E5849">
        <w:rPr>
          <w:lang w:val="en-GB"/>
        </w:rPr>
        <w:t xml:space="preserve">of standard scales of units costs </w:t>
      </w:r>
      <w:r w:rsidR="00ED6933">
        <w:rPr>
          <w:lang w:val="en-GB"/>
        </w:rPr>
        <w:t>applicable</w:t>
      </w:r>
      <w:r w:rsidR="006E5849">
        <w:rPr>
          <w:lang w:val="en-GB"/>
        </w:rPr>
        <w:t xml:space="preserve"> in the projects implemented under the European Structural Funds</w:t>
      </w:r>
      <w:r w:rsidR="007E2278">
        <w:rPr>
          <w:lang w:val="en-GB"/>
        </w:rPr>
        <w:t xml:space="preserve"> are used</w:t>
      </w:r>
      <w:r w:rsidR="006E5849">
        <w:rPr>
          <w:lang w:val="en-GB"/>
        </w:rPr>
        <w:t>, the managing authority or audit institutions of the European Structural Funds</w:t>
      </w:r>
      <w:r w:rsidR="00ED6933">
        <w:rPr>
          <w:lang w:val="en-GB"/>
        </w:rPr>
        <w:t>)</w:t>
      </w:r>
      <w:r w:rsidR="006E5849">
        <w:rPr>
          <w:lang w:val="en-GB"/>
        </w:rPr>
        <w:t xml:space="preserve"> determine that the amounts of standard scales of unit costs or conditions for their application were not correctly set, the revised amount  or </w:t>
      </w:r>
      <w:r w:rsidR="00C73CED">
        <w:rPr>
          <w:lang w:val="en-GB"/>
        </w:rPr>
        <w:t xml:space="preserve">amended </w:t>
      </w:r>
      <w:r w:rsidR="006E5849">
        <w:rPr>
          <w:lang w:val="en-GB"/>
        </w:rPr>
        <w:t xml:space="preserve">conditions for their application become applicable since the date the revised amount or amended conditions enter into force.   </w:t>
      </w:r>
    </w:p>
    <w:p w14:paraId="4920D827" w14:textId="7C7A5417" w:rsidR="00127C52" w:rsidRPr="001A1436" w:rsidRDefault="00127C52" w:rsidP="00127C52">
      <w:pPr>
        <w:pStyle w:val="FootnoteText"/>
        <w:jc w:val="both"/>
      </w:pPr>
    </w:p>
  </w:footnote>
  <w:footnote w:id="6">
    <w:p w14:paraId="14F82EFA" w14:textId="0951ED18" w:rsidR="00434882" w:rsidRPr="00B418E9" w:rsidRDefault="00434882" w:rsidP="00434882">
      <w:pPr>
        <w:pStyle w:val="FootnoteText"/>
        <w:jc w:val="both"/>
      </w:pPr>
      <w:r>
        <w:rPr>
          <w:rStyle w:val="FootnoteReference"/>
        </w:rPr>
        <w:footnoteRef/>
      </w:r>
      <w:r>
        <w:t xml:space="preserve"> </w:t>
      </w:r>
      <w:r w:rsidRPr="007B5E06">
        <w:rPr>
          <w:lang w:val="en-GB"/>
        </w:rPr>
        <w:t xml:space="preserve">During implementation of a project, standard scales of unit costs shall not </w:t>
      </w:r>
      <w:r>
        <w:rPr>
          <w:lang w:val="en-GB"/>
        </w:rPr>
        <w:t xml:space="preserve">be </w:t>
      </w:r>
      <w:r w:rsidRPr="007B5E06">
        <w:rPr>
          <w:lang w:val="en-GB"/>
        </w:rPr>
        <w:t>change</w:t>
      </w:r>
      <w:r>
        <w:rPr>
          <w:lang w:val="en-GB"/>
        </w:rPr>
        <w:t>d</w:t>
      </w:r>
      <w:r w:rsidRPr="007B5E06">
        <w:rPr>
          <w:lang w:val="en-GB"/>
        </w:rPr>
        <w:t xml:space="preserve">, except in case if </w:t>
      </w:r>
      <w:r>
        <w:rPr>
          <w:lang w:val="en-GB"/>
        </w:rPr>
        <w:t xml:space="preserve">the </w:t>
      </w:r>
      <w:r w:rsidRPr="007B5E06">
        <w:rPr>
          <w:lang w:val="en-GB"/>
        </w:rPr>
        <w:t xml:space="preserve">National Focal Point, </w:t>
      </w:r>
      <w:r w:rsidR="00C73CED">
        <w:rPr>
          <w:lang w:val="en-GB"/>
        </w:rPr>
        <w:t xml:space="preserve">the </w:t>
      </w:r>
      <w:r w:rsidRPr="007B5E06">
        <w:rPr>
          <w:lang w:val="en-GB"/>
        </w:rPr>
        <w:t xml:space="preserve">audit institution or </w:t>
      </w:r>
      <w:r>
        <w:rPr>
          <w:lang w:val="en-GB"/>
        </w:rPr>
        <w:t xml:space="preserve">any </w:t>
      </w:r>
      <w:r w:rsidRPr="007B5E06">
        <w:rPr>
          <w:lang w:val="en-GB"/>
        </w:rPr>
        <w:t xml:space="preserve">other institutions that have carried out the audit </w:t>
      </w:r>
      <w:r>
        <w:rPr>
          <w:lang w:val="en-GB"/>
        </w:rPr>
        <w:t>(in case the methods of standard scales of units costs applicable in the projects implemented under the European Structural Funds</w:t>
      </w:r>
      <w:r w:rsidR="00C73CED">
        <w:rPr>
          <w:lang w:val="en-GB"/>
        </w:rPr>
        <w:t xml:space="preserve"> are used</w:t>
      </w:r>
      <w:r>
        <w:rPr>
          <w:lang w:val="en-GB"/>
        </w:rPr>
        <w:t xml:space="preserve">, the managing authority or audit institutions of the European Structural Funds) determine that the amounts of standard scales of unit costs or conditions for their application were not correctly set, the revised amount or </w:t>
      </w:r>
      <w:r w:rsidR="00C73CED">
        <w:rPr>
          <w:lang w:val="en-GB"/>
        </w:rPr>
        <w:t xml:space="preserve">amended </w:t>
      </w:r>
      <w:r>
        <w:rPr>
          <w:lang w:val="en-GB"/>
        </w:rPr>
        <w:t xml:space="preserve">conditions for their application become applicable since the date the revised amount or amended conditions enter into force.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C55"/>
    <w:multiLevelType w:val="multilevel"/>
    <w:tmpl w:val="436E336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E09D7"/>
    <w:multiLevelType w:val="hybridMultilevel"/>
    <w:tmpl w:val="C35E8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D940B3"/>
    <w:multiLevelType w:val="multilevel"/>
    <w:tmpl w:val="99ACF4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344F0"/>
    <w:multiLevelType w:val="hybridMultilevel"/>
    <w:tmpl w:val="9A6835B0"/>
    <w:lvl w:ilvl="0" w:tplc="4B824B7C">
      <w:start w:val="50"/>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33292"/>
    <w:multiLevelType w:val="multilevel"/>
    <w:tmpl w:val="9CFC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D48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C6C27"/>
    <w:multiLevelType w:val="hybridMultilevel"/>
    <w:tmpl w:val="2B70C2D6"/>
    <w:lvl w:ilvl="0" w:tplc="65EC7B4A">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1A6237"/>
    <w:multiLevelType w:val="multilevel"/>
    <w:tmpl w:val="855483F6"/>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3438D"/>
    <w:multiLevelType w:val="multilevel"/>
    <w:tmpl w:val="48A2D4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662A81"/>
    <w:multiLevelType w:val="multilevel"/>
    <w:tmpl w:val="B044C8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295EC9"/>
    <w:multiLevelType w:val="multilevel"/>
    <w:tmpl w:val="E39A280E"/>
    <w:lvl w:ilvl="0">
      <w:start w:val="1"/>
      <w:numFmt w:val="decimal"/>
      <w:lvlText w:val="%1."/>
      <w:lvlJc w:val="left"/>
      <w:pPr>
        <w:ind w:left="360" w:hanging="360"/>
      </w:pPr>
      <w:rPr>
        <w:rFonts w:hint="default"/>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A68FE"/>
    <w:multiLevelType w:val="multilevel"/>
    <w:tmpl w:val="8E7A7446"/>
    <w:lvl w:ilvl="0">
      <w:start w:val="1"/>
      <w:numFmt w:val="decimal"/>
      <w:lvlText w:val="%1."/>
      <w:lvlJc w:val="left"/>
      <w:pPr>
        <w:ind w:left="928"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80349"/>
    <w:multiLevelType w:val="hybridMultilevel"/>
    <w:tmpl w:val="123E2C74"/>
    <w:lvl w:ilvl="0" w:tplc="BDF6F7D0">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6467A9"/>
    <w:multiLevelType w:val="multilevel"/>
    <w:tmpl w:val="150E35D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BA4828"/>
    <w:multiLevelType w:val="hybridMultilevel"/>
    <w:tmpl w:val="D74876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812085"/>
    <w:multiLevelType w:val="hybridMultilevel"/>
    <w:tmpl w:val="A50E9A80"/>
    <w:lvl w:ilvl="0" w:tplc="04270017">
      <w:start w:val="1"/>
      <w:numFmt w:val="lowerLetter"/>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9" w15:restartNumberingAfterBreak="0">
    <w:nsid w:val="37CC4376"/>
    <w:multiLevelType w:val="multilevel"/>
    <w:tmpl w:val="D9DC8A80"/>
    <w:lvl w:ilvl="0">
      <w:start w:val="16"/>
      <w:numFmt w:val="decimal"/>
      <w:lvlText w:val="%1."/>
      <w:lvlJc w:val="left"/>
      <w:pPr>
        <w:ind w:left="720" w:hanging="360"/>
      </w:pPr>
      <w:rPr>
        <w:rFonts w:cs="Times New Roman" w:hint="default"/>
        <w:b/>
      </w:rPr>
    </w:lvl>
    <w:lvl w:ilvl="1">
      <w:start w:val="1"/>
      <w:numFmt w:val="decimal"/>
      <w:lvlText w:val="%1.%2."/>
      <w:lvlJc w:val="left"/>
      <w:pPr>
        <w:ind w:left="120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0" w15:restartNumberingAfterBreak="0">
    <w:nsid w:val="3BEE596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641C5D"/>
    <w:multiLevelType w:val="hybridMultilevel"/>
    <w:tmpl w:val="27683A30"/>
    <w:lvl w:ilvl="0" w:tplc="FEAEFC1A">
      <w:start w:val="5"/>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651A61"/>
    <w:multiLevelType w:val="multilevel"/>
    <w:tmpl w:val="E9BC5112"/>
    <w:lvl w:ilvl="0">
      <w:start w:val="1"/>
      <w:numFmt w:val="decimal"/>
      <w:lvlText w:val="%1."/>
      <w:lvlJc w:val="left"/>
      <w:pPr>
        <w:ind w:left="360" w:hanging="360"/>
      </w:pPr>
      <w:rPr>
        <w:rFonts w:hint="default"/>
        <w:i w:val="0"/>
        <w:iCs/>
      </w:rPr>
    </w:lvl>
    <w:lvl w:ilvl="1">
      <w:start w:val="1"/>
      <w:numFmt w:val="decimal"/>
      <w:lvlText w:val="%1.%2."/>
      <w:lvlJc w:val="left"/>
      <w:pPr>
        <w:ind w:left="1425"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5D3A5A"/>
    <w:multiLevelType w:val="multilevel"/>
    <w:tmpl w:val="99086EA4"/>
    <w:lvl w:ilvl="0">
      <w:start w:val="6"/>
      <w:numFmt w:val="decimal"/>
      <w:lvlText w:val="%1."/>
      <w:lvlJc w:val="left"/>
      <w:pPr>
        <w:ind w:left="540" w:hanging="540"/>
      </w:pPr>
      <w:rPr>
        <w:rFonts w:eastAsia="Times New Roman" w:hint="default"/>
      </w:rPr>
    </w:lvl>
    <w:lvl w:ilvl="1">
      <w:start w:val="2"/>
      <w:numFmt w:val="decimal"/>
      <w:lvlText w:val="%1.%2."/>
      <w:lvlJc w:val="left"/>
      <w:pPr>
        <w:ind w:left="540" w:hanging="540"/>
      </w:pPr>
      <w:rPr>
        <w:rFonts w:eastAsia="Times New Roman" w:hint="default"/>
      </w:rPr>
    </w:lvl>
    <w:lvl w:ilvl="2">
      <w:start w:val="1"/>
      <w:numFmt w:val="decimal"/>
      <w:lvlText w:val="%1.%2.%3."/>
      <w:lvlJc w:val="left"/>
      <w:pPr>
        <w:ind w:left="752" w:hanging="720"/>
      </w:pPr>
      <w:rPr>
        <w:rFonts w:eastAsia="Times New Roman" w:hint="default"/>
      </w:rPr>
    </w:lvl>
    <w:lvl w:ilvl="3">
      <w:start w:val="1"/>
      <w:numFmt w:val="decimal"/>
      <w:lvlText w:val="%1.%2.%3.%4."/>
      <w:lvlJc w:val="left"/>
      <w:pPr>
        <w:ind w:left="768" w:hanging="720"/>
      </w:pPr>
      <w:rPr>
        <w:rFonts w:eastAsia="Times New Roman" w:hint="default"/>
      </w:rPr>
    </w:lvl>
    <w:lvl w:ilvl="4">
      <w:start w:val="1"/>
      <w:numFmt w:val="decimal"/>
      <w:lvlText w:val="%1.%2.%3.%4.%5."/>
      <w:lvlJc w:val="left"/>
      <w:pPr>
        <w:ind w:left="1144" w:hanging="1080"/>
      </w:pPr>
      <w:rPr>
        <w:rFonts w:eastAsia="Times New Roman" w:hint="default"/>
      </w:rPr>
    </w:lvl>
    <w:lvl w:ilvl="5">
      <w:start w:val="1"/>
      <w:numFmt w:val="decimal"/>
      <w:lvlText w:val="%1.%2.%3.%4.%5.%6."/>
      <w:lvlJc w:val="left"/>
      <w:pPr>
        <w:ind w:left="1160" w:hanging="1080"/>
      </w:pPr>
      <w:rPr>
        <w:rFonts w:eastAsia="Times New Roman" w:hint="default"/>
      </w:rPr>
    </w:lvl>
    <w:lvl w:ilvl="6">
      <w:start w:val="1"/>
      <w:numFmt w:val="decimal"/>
      <w:lvlText w:val="%1.%2.%3.%4.%5.%6.%7."/>
      <w:lvlJc w:val="left"/>
      <w:pPr>
        <w:ind w:left="1536" w:hanging="1440"/>
      </w:pPr>
      <w:rPr>
        <w:rFonts w:eastAsia="Times New Roman" w:hint="default"/>
      </w:rPr>
    </w:lvl>
    <w:lvl w:ilvl="7">
      <w:start w:val="1"/>
      <w:numFmt w:val="decimal"/>
      <w:lvlText w:val="%1.%2.%3.%4.%5.%6.%7.%8."/>
      <w:lvlJc w:val="left"/>
      <w:pPr>
        <w:ind w:left="1552" w:hanging="1440"/>
      </w:pPr>
      <w:rPr>
        <w:rFonts w:eastAsia="Times New Roman" w:hint="default"/>
      </w:rPr>
    </w:lvl>
    <w:lvl w:ilvl="8">
      <w:start w:val="1"/>
      <w:numFmt w:val="decimal"/>
      <w:lvlText w:val="%1.%2.%3.%4.%5.%6.%7.%8.%9."/>
      <w:lvlJc w:val="left"/>
      <w:pPr>
        <w:ind w:left="1928" w:hanging="1800"/>
      </w:pPr>
      <w:rPr>
        <w:rFonts w:eastAsia="Times New Roman" w:hint="default"/>
      </w:rPr>
    </w:lvl>
  </w:abstractNum>
  <w:abstractNum w:abstractNumId="24" w15:restartNumberingAfterBreak="0">
    <w:nsid w:val="51211563"/>
    <w:multiLevelType w:val="multilevel"/>
    <w:tmpl w:val="56D21DAE"/>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9A7FC7"/>
    <w:multiLevelType w:val="hybridMultilevel"/>
    <w:tmpl w:val="74F8CEAE"/>
    <w:lvl w:ilvl="0" w:tplc="04270019">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6" w15:restartNumberingAfterBreak="0">
    <w:nsid w:val="53B208CD"/>
    <w:multiLevelType w:val="multilevel"/>
    <w:tmpl w:val="E39A280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31182C"/>
    <w:multiLevelType w:val="multilevel"/>
    <w:tmpl w:val="8E7A744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715BF"/>
    <w:multiLevelType w:val="multilevel"/>
    <w:tmpl w:val="E39A280E"/>
    <w:lvl w:ilvl="0">
      <w:start w:val="1"/>
      <w:numFmt w:val="decimal"/>
      <w:lvlText w:val="%1."/>
      <w:lvlJc w:val="left"/>
      <w:pPr>
        <w:ind w:left="360" w:hanging="360"/>
      </w:pPr>
      <w:rPr>
        <w:rFonts w:hint="default"/>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F5DBD"/>
    <w:multiLevelType w:val="multilevel"/>
    <w:tmpl w:val="B1EADFDA"/>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88A7AC5"/>
    <w:multiLevelType w:val="hybridMultilevel"/>
    <w:tmpl w:val="46E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403C5"/>
    <w:multiLevelType w:val="multilevel"/>
    <w:tmpl w:val="9F2610B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271CC5"/>
    <w:multiLevelType w:val="multilevel"/>
    <w:tmpl w:val="8E7A7446"/>
    <w:lvl w:ilvl="0">
      <w:start w:val="1"/>
      <w:numFmt w:val="decimal"/>
      <w:lvlText w:val="%1."/>
      <w:lvlJc w:val="left"/>
      <w:pPr>
        <w:ind w:left="928"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2010B"/>
    <w:multiLevelType w:val="multilevel"/>
    <w:tmpl w:val="8E7A744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BB5551"/>
    <w:multiLevelType w:val="multilevel"/>
    <w:tmpl w:val="E39A280E"/>
    <w:lvl w:ilvl="0">
      <w:start w:val="1"/>
      <w:numFmt w:val="decimal"/>
      <w:lvlText w:val="%1."/>
      <w:lvlJc w:val="left"/>
      <w:pPr>
        <w:ind w:left="360" w:hanging="360"/>
      </w:pPr>
      <w:rPr>
        <w:rFonts w:hint="default"/>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235BE4"/>
    <w:multiLevelType w:val="multilevel"/>
    <w:tmpl w:val="E39A280E"/>
    <w:lvl w:ilvl="0">
      <w:start w:val="1"/>
      <w:numFmt w:val="decimal"/>
      <w:lvlText w:val="%1."/>
      <w:lvlJc w:val="left"/>
      <w:pPr>
        <w:ind w:left="360" w:hanging="360"/>
      </w:pPr>
      <w:rPr>
        <w:rFonts w:hint="default"/>
        <w:b w:val="0"/>
        <w:bCs/>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8148F1"/>
    <w:multiLevelType w:val="hybridMultilevel"/>
    <w:tmpl w:val="5D38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7"/>
  </w:num>
  <w:num w:numId="5">
    <w:abstractNumId w:val="2"/>
  </w:num>
  <w:num w:numId="6">
    <w:abstractNumId w:val="24"/>
  </w:num>
  <w:num w:numId="7">
    <w:abstractNumId w:val="4"/>
  </w:num>
  <w:num w:numId="8">
    <w:abstractNumId w:val="8"/>
  </w:num>
  <w:num w:numId="9">
    <w:abstractNumId w:val="17"/>
  </w:num>
  <w:num w:numId="10">
    <w:abstractNumId w:val="15"/>
  </w:num>
  <w:num w:numId="11">
    <w:abstractNumId w:val="0"/>
  </w:num>
  <w:num w:numId="12">
    <w:abstractNumId w:val="11"/>
  </w:num>
  <w:num w:numId="13">
    <w:abstractNumId w:val="29"/>
  </w:num>
  <w:num w:numId="14">
    <w:abstractNumId w:val="23"/>
  </w:num>
  <w:num w:numId="15">
    <w:abstractNumId w:val="31"/>
  </w:num>
  <w:num w:numId="16">
    <w:abstractNumId w:val="16"/>
  </w:num>
  <w:num w:numId="17">
    <w:abstractNumId w:val="20"/>
  </w:num>
  <w:num w:numId="18">
    <w:abstractNumId w:val="26"/>
  </w:num>
  <w:num w:numId="19">
    <w:abstractNumId w:val="1"/>
  </w:num>
  <w:num w:numId="20">
    <w:abstractNumId w:val="22"/>
  </w:num>
  <w:num w:numId="21">
    <w:abstractNumId w:val="9"/>
  </w:num>
  <w:num w:numId="22">
    <w:abstractNumId w:val="18"/>
  </w:num>
  <w:num w:numId="23">
    <w:abstractNumId w:val="25"/>
  </w:num>
  <w:num w:numId="24">
    <w:abstractNumId w:val="34"/>
  </w:num>
  <w:num w:numId="25">
    <w:abstractNumId w:val="28"/>
  </w:num>
  <w:num w:numId="26">
    <w:abstractNumId w:val="12"/>
  </w:num>
  <w:num w:numId="27">
    <w:abstractNumId w:val="35"/>
  </w:num>
  <w:num w:numId="28">
    <w:abstractNumId w:val="27"/>
  </w:num>
  <w:num w:numId="29">
    <w:abstractNumId w:val="3"/>
  </w:num>
  <w:num w:numId="30">
    <w:abstractNumId w:val="36"/>
  </w:num>
  <w:num w:numId="31">
    <w:abstractNumId w:val="33"/>
  </w:num>
  <w:num w:numId="32">
    <w:abstractNumId w:val="6"/>
  </w:num>
  <w:num w:numId="33">
    <w:abstractNumId w:val="30"/>
  </w:num>
  <w:num w:numId="34">
    <w:abstractNumId w:val="14"/>
  </w:num>
  <w:num w:numId="35">
    <w:abstractNumId w:val="5"/>
  </w:num>
  <w:num w:numId="36">
    <w:abstractNumId w:val="32"/>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BB"/>
    <w:rsid w:val="00000C6A"/>
    <w:rsid w:val="00000D86"/>
    <w:rsid w:val="000015FA"/>
    <w:rsid w:val="00001634"/>
    <w:rsid w:val="00001F0C"/>
    <w:rsid w:val="00002F54"/>
    <w:rsid w:val="0000318D"/>
    <w:rsid w:val="00003312"/>
    <w:rsid w:val="00003404"/>
    <w:rsid w:val="00003F74"/>
    <w:rsid w:val="00004E39"/>
    <w:rsid w:val="0000532D"/>
    <w:rsid w:val="00005570"/>
    <w:rsid w:val="000058A0"/>
    <w:rsid w:val="00005E55"/>
    <w:rsid w:val="000061CA"/>
    <w:rsid w:val="000062F6"/>
    <w:rsid w:val="00006984"/>
    <w:rsid w:val="00006E84"/>
    <w:rsid w:val="00010243"/>
    <w:rsid w:val="0001035A"/>
    <w:rsid w:val="00010A94"/>
    <w:rsid w:val="000115CB"/>
    <w:rsid w:val="00011891"/>
    <w:rsid w:val="000121F6"/>
    <w:rsid w:val="000126D1"/>
    <w:rsid w:val="000129F6"/>
    <w:rsid w:val="000131F0"/>
    <w:rsid w:val="000132DC"/>
    <w:rsid w:val="00013339"/>
    <w:rsid w:val="00013565"/>
    <w:rsid w:val="0001399C"/>
    <w:rsid w:val="00014919"/>
    <w:rsid w:val="000154D8"/>
    <w:rsid w:val="00015852"/>
    <w:rsid w:val="00015E5C"/>
    <w:rsid w:val="000169CD"/>
    <w:rsid w:val="0001718B"/>
    <w:rsid w:val="0001779B"/>
    <w:rsid w:val="00017C7F"/>
    <w:rsid w:val="0002031F"/>
    <w:rsid w:val="00020670"/>
    <w:rsid w:val="00020ED2"/>
    <w:rsid w:val="000211E7"/>
    <w:rsid w:val="000216A7"/>
    <w:rsid w:val="000218D7"/>
    <w:rsid w:val="000222F8"/>
    <w:rsid w:val="0002314D"/>
    <w:rsid w:val="00023682"/>
    <w:rsid w:val="00023856"/>
    <w:rsid w:val="00023AE7"/>
    <w:rsid w:val="00024283"/>
    <w:rsid w:val="00024926"/>
    <w:rsid w:val="00025452"/>
    <w:rsid w:val="00025664"/>
    <w:rsid w:val="00025845"/>
    <w:rsid w:val="00025B2C"/>
    <w:rsid w:val="000260AF"/>
    <w:rsid w:val="00026139"/>
    <w:rsid w:val="000261A6"/>
    <w:rsid w:val="0002641E"/>
    <w:rsid w:val="000264F9"/>
    <w:rsid w:val="000270BF"/>
    <w:rsid w:val="00027968"/>
    <w:rsid w:val="00027BD8"/>
    <w:rsid w:val="00027C7B"/>
    <w:rsid w:val="00030077"/>
    <w:rsid w:val="000305C6"/>
    <w:rsid w:val="000306A7"/>
    <w:rsid w:val="00030CEA"/>
    <w:rsid w:val="00031269"/>
    <w:rsid w:val="00031A2D"/>
    <w:rsid w:val="00031AF1"/>
    <w:rsid w:val="00032A24"/>
    <w:rsid w:val="00032F60"/>
    <w:rsid w:val="000331DC"/>
    <w:rsid w:val="000335D1"/>
    <w:rsid w:val="00033B44"/>
    <w:rsid w:val="00033D84"/>
    <w:rsid w:val="00033F6F"/>
    <w:rsid w:val="00034170"/>
    <w:rsid w:val="0003417D"/>
    <w:rsid w:val="0003531D"/>
    <w:rsid w:val="00035643"/>
    <w:rsid w:val="0003567D"/>
    <w:rsid w:val="00035BB5"/>
    <w:rsid w:val="0003667D"/>
    <w:rsid w:val="00036DEF"/>
    <w:rsid w:val="00037335"/>
    <w:rsid w:val="00037400"/>
    <w:rsid w:val="000379A7"/>
    <w:rsid w:val="00040125"/>
    <w:rsid w:val="0004047C"/>
    <w:rsid w:val="00040A30"/>
    <w:rsid w:val="00040C0E"/>
    <w:rsid w:val="00040D12"/>
    <w:rsid w:val="00041C0D"/>
    <w:rsid w:val="000423F6"/>
    <w:rsid w:val="0004266D"/>
    <w:rsid w:val="00044CDA"/>
    <w:rsid w:val="0004544B"/>
    <w:rsid w:val="000454EA"/>
    <w:rsid w:val="000460D1"/>
    <w:rsid w:val="00046359"/>
    <w:rsid w:val="0004676B"/>
    <w:rsid w:val="000468B4"/>
    <w:rsid w:val="00047F42"/>
    <w:rsid w:val="0005070B"/>
    <w:rsid w:val="00050AA0"/>
    <w:rsid w:val="000511A6"/>
    <w:rsid w:val="0005172F"/>
    <w:rsid w:val="00051858"/>
    <w:rsid w:val="00051AD4"/>
    <w:rsid w:val="00052219"/>
    <w:rsid w:val="00052555"/>
    <w:rsid w:val="00052A0B"/>
    <w:rsid w:val="00052E0B"/>
    <w:rsid w:val="000532F8"/>
    <w:rsid w:val="000534E2"/>
    <w:rsid w:val="00053D18"/>
    <w:rsid w:val="0005400A"/>
    <w:rsid w:val="000543F2"/>
    <w:rsid w:val="000546EE"/>
    <w:rsid w:val="000549E2"/>
    <w:rsid w:val="0005530B"/>
    <w:rsid w:val="000565F7"/>
    <w:rsid w:val="00056C20"/>
    <w:rsid w:val="00060035"/>
    <w:rsid w:val="000605AB"/>
    <w:rsid w:val="00060629"/>
    <w:rsid w:val="00061147"/>
    <w:rsid w:val="00061CB7"/>
    <w:rsid w:val="00061D82"/>
    <w:rsid w:val="0006255A"/>
    <w:rsid w:val="00062B3B"/>
    <w:rsid w:val="00063159"/>
    <w:rsid w:val="00063B31"/>
    <w:rsid w:val="00064E8F"/>
    <w:rsid w:val="00065986"/>
    <w:rsid w:val="00067623"/>
    <w:rsid w:val="0007005E"/>
    <w:rsid w:val="00070868"/>
    <w:rsid w:val="0007091D"/>
    <w:rsid w:val="00070AA3"/>
    <w:rsid w:val="00070AE8"/>
    <w:rsid w:val="00070BC8"/>
    <w:rsid w:val="00071002"/>
    <w:rsid w:val="00071BD9"/>
    <w:rsid w:val="00071ED6"/>
    <w:rsid w:val="0007203E"/>
    <w:rsid w:val="0007361C"/>
    <w:rsid w:val="00073E6E"/>
    <w:rsid w:val="00073FD4"/>
    <w:rsid w:val="00074650"/>
    <w:rsid w:val="000746EA"/>
    <w:rsid w:val="00075202"/>
    <w:rsid w:val="0007576A"/>
    <w:rsid w:val="000759A9"/>
    <w:rsid w:val="000760D4"/>
    <w:rsid w:val="00077500"/>
    <w:rsid w:val="00077BC5"/>
    <w:rsid w:val="00077BFE"/>
    <w:rsid w:val="000800EF"/>
    <w:rsid w:val="0008080B"/>
    <w:rsid w:val="00080A4D"/>
    <w:rsid w:val="00080D1A"/>
    <w:rsid w:val="00080DD2"/>
    <w:rsid w:val="000810CB"/>
    <w:rsid w:val="000810D1"/>
    <w:rsid w:val="00081837"/>
    <w:rsid w:val="00081A69"/>
    <w:rsid w:val="00081CCD"/>
    <w:rsid w:val="00082155"/>
    <w:rsid w:val="00082717"/>
    <w:rsid w:val="000833CD"/>
    <w:rsid w:val="0008371D"/>
    <w:rsid w:val="000841CD"/>
    <w:rsid w:val="000842ED"/>
    <w:rsid w:val="00084550"/>
    <w:rsid w:val="00084E2A"/>
    <w:rsid w:val="0008504F"/>
    <w:rsid w:val="00085293"/>
    <w:rsid w:val="00085353"/>
    <w:rsid w:val="00085746"/>
    <w:rsid w:val="0008624C"/>
    <w:rsid w:val="00086CD4"/>
    <w:rsid w:val="0008742B"/>
    <w:rsid w:val="00087CCA"/>
    <w:rsid w:val="00087E0F"/>
    <w:rsid w:val="0009013F"/>
    <w:rsid w:val="00090410"/>
    <w:rsid w:val="000906BA"/>
    <w:rsid w:val="00090FB0"/>
    <w:rsid w:val="00091E90"/>
    <w:rsid w:val="000920E8"/>
    <w:rsid w:val="000921AE"/>
    <w:rsid w:val="000925FF"/>
    <w:rsid w:val="00092DAA"/>
    <w:rsid w:val="00093997"/>
    <w:rsid w:val="0009421B"/>
    <w:rsid w:val="0009464B"/>
    <w:rsid w:val="00095059"/>
    <w:rsid w:val="000950E3"/>
    <w:rsid w:val="0009516A"/>
    <w:rsid w:val="00096136"/>
    <w:rsid w:val="00096212"/>
    <w:rsid w:val="00097F0C"/>
    <w:rsid w:val="000A00EC"/>
    <w:rsid w:val="000A0920"/>
    <w:rsid w:val="000A1343"/>
    <w:rsid w:val="000A161B"/>
    <w:rsid w:val="000A177B"/>
    <w:rsid w:val="000A1E7E"/>
    <w:rsid w:val="000A33E7"/>
    <w:rsid w:val="000A383E"/>
    <w:rsid w:val="000A38C5"/>
    <w:rsid w:val="000A3941"/>
    <w:rsid w:val="000A39B5"/>
    <w:rsid w:val="000A4262"/>
    <w:rsid w:val="000A42D0"/>
    <w:rsid w:val="000A4B85"/>
    <w:rsid w:val="000A5069"/>
    <w:rsid w:val="000A5545"/>
    <w:rsid w:val="000A57C3"/>
    <w:rsid w:val="000A5864"/>
    <w:rsid w:val="000A5AEC"/>
    <w:rsid w:val="000A5D3F"/>
    <w:rsid w:val="000A60A9"/>
    <w:rsid w:val="000A60D9"/>
    <w:rsid w:val="000A6175"/>
    <w:rsid w:val="000A65CA"/>
    <w:rsid w:val="000A6FD8"/>
    <w:rsid w:val="000A7183"/>
    <w:rsid w:val="000A718B"/>
    <w:rsid w:val="000B0D2A"/>
    <w:rsid w:val="000B28C6"/>
    <w:rsid w:val="000B3062"/>
    <w:rsid w:val="000B372C"/>
    <w:rsid w:val="000B3767"/>
    <w:rsid w:val="000B3841"/>
    <w:rsid w:val="000B3DFF"/>
    <w:rsid w:val="000B43F0"/>
    <w:rsid w:val="000B49D4"/>
    <w:rsid w:val="000B4F8D"/>
    <w:rsid w:val="000B5CE6"/>
    <w:rsid w:val="000B62EC"/>
    <w:rsid w:val="000B663B"/>
    <w:rsid w:val="000B6FDD"/>
    <w:rsid w:val="000B7B53"/>
    <w:rsid w:val="000C00EB"/>
    <w:rsid w:val="000C09D6"/>
    <w:rsid w:val="000C15F9"/>
    <w:rsid w:val="000C1C2F"/>
    <w:rsid w:val="000C28CA"/>
    <w:rsid w:val="000C32B9"/>
    <w:rsid w:val="000C33CA"/>
    <w:rsid w:val="000C45C9"/>
    <w:rsid w:val="000C4C59"/>
    <w:rsid w:val="000C4DAC"/>
    <w:rsid w:val="000C54BB"/>
    <w:rsid w:val="000C54BE"/>
    <w:rsid w:val="000C5816"/>
    <w:rsid w:val="000C58A7"/>
    <w:rsid w:val="000C59CA"/>
    <w:rsid w:val="000C60BC"/>
    <w:rsid w:val="000C64B0"/>
    <w:rsid w:val="000C6C1F"/>
    <w:rsid w:val="000C6C36"/>
    <w:rsid w:val="000C6DB9"/>
    <w:rsid w:val="000C71EE"/>
    <w:rsid w:val="000C7C69"/>
    <w:rsid w:val="000D139B"/>
    <w:rsid w:val="000D20E9"/>
    <w:rsid w:val="000D2163"/>
    <w:rsid w:val="000D2482"/>
    <w:rsid w:val="000D268F"/>
    <w:rsid w:val="000D2970"/>
    <w:rsid w:val="000D359D"/>
    <w:rsid w:val="000D3C4B"/>
    <w:rsid w:val="000D446F"/>
    <w:rsid w:val="000D4B6B"/>
    <w:rsid w:val="000D4DBD"/>
    <w:rsid w:val="000D52A5"/>
    <w:rsid w:val="000D5614"/>
    <w:rsid w:val="000D58FD"/>
    <w:rsid w:val="000D606F"/>
    <w:rsid w:val="000D610F"/>
    <w:rsid w:val="000D6A16"/>
    <w:rsid w:val="000D6E57"/>
    <w:rsid w:val="000D6FC7"/>
    <w:rsid w:val="000D723A"/>
    <w:rsid w:val="000D7765"/>
    <w:rsid w:val="000D7797"/>
    <w:rsid w:val="000D7D87"/>
    <w:rsid w:val="000E0863"/>
    <w:rsid w:val="000E0CD5"/>
    <w:rsid w:val="000E1E6A"/>
    <w:rsid w:val="000E25FF"/>
    <w:rsid w:val="000E2931"/>
    <w:rsid w:val="000E299F"/>
    <w:rsid w:val="000E2BAA"/>
    <w:rsid w:val="000E2E78"/>
    <w:rsid w:val="000E3341"/>
    <w:rsid w:val="000E352B"/>
    <w:rsid w:val="000E36CD"/>
    <w:rsid w:val="000E493F"/>
    <w:rsid w:val="000E4E8C"/>
    <w:rsid w:val="000E4F04"/>
    <w:rsid w:val="000E515B"/>
    <w:rsid w:val="000E5C6E"/>
    <w:rsid w:val="000E5CFE"/>
    <w:rsid w:val="000E644D"/>
    <w:rsid w:val="000E65A6"/>
    <w:rsid w:val="000E6682"/>
    <w:rsid w:val="000E6EC6"/>
    <w:rsid w:val="000E6F92"/>
    <w:rsid w:val="000E727D"/>
    <w:rsid w:val="000E79E7"/>
    <w:rsid w:val="000E7BD7"/>
    <w:rsid w:val="000E7D78"/>
    <w:rsid w:val="000F0970"/>
    <w:rsid w:val="000F0A68"/>
    <w:rsid w:val="000F0A84"/>
    <w:rsid w:val="000F0C7C"/>
    <w:rsid w:val="000F0DFB"/>
    <w:rsid w:val="000F150B"/>
    <w:rsid w:val="000F2510"/>
    <w:rsid w:val="000F26E1"/>
    <w:rsid w:val="000F2FB6"/>
    <w:rsid w:val="000F357E"/>
    <w:rsid w:val="000F3C19"/>
    <w:rsid w:val="000F3DDD"/>
    <w:rsid w:val="000F4027"/>
    <w:rsid w:val="000F4B82"/>
    <w:rsid w:val="000F5436"/>
    <w:rsid w:val="000F5444"/>
    <w:rsid w:val="000F6ACF"/>
    <w:rsid w:val="000F7471"/>
    <w:rsid w:val="000F74EB"/>
    <w:rsid w:val="000F75A8"/>
    <w:rsid w:val="000F7CA2"/>
    <w:rsid w:val="001006FC"/>
    <w:rsid w:val="0010073C"/>
    <w:rsid w:val="001024E8"/>
    <w:rsid w:val="0010254B"/>
    <w:rsid w:val="00102D0F"/>
    <w:rsid w:val="00102FC5"/>
    <w:rsid w:val="00103B9F"/>
    <w:rsid w:val="00103D02"/>
    <w:rsid w:val="00103FA4"/>
    <w:rsid w:val="001043BC"/>
    <w:rsid w:val="00104AD1"/>
    <w:rsid w:val="001050B7"/>
    <w:rsid w:val="001059F4"/>
    <w:rsid w:val="00105BD4"/>
    <w:rsid w:val="00105F50"/>
    <w:rsid w:val="00106DC1"/>
    <w:rsid w:val="00107B27"/>
    <w:rsid w:val="00107B76"/>
    <w:rsid w:val="00110174"/>
    <w:rsid w:val="0011022C"/>
    <w:rsid w:val="00110F09"/>
    <w:rsid w:val="00111AF2"/>
    <w:rsid w:val="00111CE2"/>
    <w:rsid w:val="0011230F"/>
    <w:rsid w:val="001123F0"/>
    <w:rsid w:val="00112479"/>
    <w:rsid w:val="0011273C"/>
    <w:rsid w:val="001127D8"/>
    <w:rsid w:val="00112868"/>
    <w:rsid w:val="00112BF9"/>
    <w:rsid w:val="00112F61"/>
    <w:rsid w:val="001139F8"/>
    <w:rsid w:val="00113F44"/>
    <w:rsid w:val="00115129"/>
    <w:rsid w:val="001151FF"/>
    <w:rsid w:val="0011525C"/>
    <w:rsid w:val="001152DA"/>
    <w:rsid w:val="0011690D"/>
    <w:rsid w:val="00117552"/>
    <w:rsid w:val="00117B61"/>
    <w:rsid w:val="001201A1"/>
    <w:rsid w:val="001206EE"/>
    <w:rsid w:val="001211AA"/>
    <w:rsid w:val="001214FB"/>
    <w:rsid w:val="0012157B"/>
    <w:rsid w:val="00121E20"/>
    <w:rsid w:val="00121EA0"/>
    <w:rsid w:val="001226EE"/>
    <w:rsid w:val="001227AC"/>
    <w:rsid w:val="00122D83"/>
    <w:rsid w:val="0012333C"/>
    <w:rsid w:val="0012384B"/>
    <w:rsid w:val="001239E5"/>
    <w:rsid w:val="00123CFA"/>
    <w:rsid w:val="00123D37"/>
    <w:rsid w:val="00123E57"/>
    <w:rsid w:val="00123E58"/>
    <w:rsid w:val="001242C9"/>
    <w:rsid w:val="00124677"/>
    <w:rsid w:val="001246D3"/>
    <w:rsid w:val="00124872"/>
    <w:rsid w:val="00124982"/>
    <w:rsid w:val="00125008"/>
    <w:rsid w:val="00125F89"/>
    <w:rsid w:val="001265D3"/>
    <w:rsid w:val="00127216"/>
    <w:rsid w:val="0012787B"/>
    <w:rsid w:val="00127C52"/>
    <w:rsid w:val="00127F8E"/>
    <w:rsid w:val="001302DE"/>
    <w:rsid w:val="001306BD"/>
    <w:rsid w:val="001311EB"/>
    <w:rsid w:val="001319D3"/>
    <w:rsid w:val="001319DE"/>
    <w:rsid w:val="0013224D"/>
    <w:rsid w:val="0013245D"/>
    <w:rsid w:val="001328DF"/>
    <w:rsid w:val="00132C1D"/>
    <w:rsid w:val="0013346E"/>
    <w:rsid w:val="001335EE"/>
    <w:rsid w:val="00133823"/>
    <w:rsid w:val="0013382D"/>
    <w:rsid w:val="00134234"/>
    <w:rsid w:val="001357DA"/>
    <w:rsid w:val="00135B19"/>
    <w:rsid w:val="0013616C"/>
    <w:rsid w:val="00136BA9"/>
    <w:rsid w:val="00136F37"/>
    <w:rsid w:val="001376FA"/>
    <w:rsid w:val="00137DC4"/>
    <w:rsid w:val="0014005A"/>
    <w:rsid w:val="00140196"/>
    <w:rsid w:val="0014037A"/>
    <w:rsid w:val="00140C56"/>
    <w:rsid w:val="00141863"/>
    <w:rsid w:val="001421C7"/>
    <w:rsid w:val="001426B4"/>
    <w:rsid w:val="001430BE"/>
    <w:rsid w:val="001431EF"/>
    <w:rsid w:val="0014330C"/>
    <w:rsid w:val="001437C9"/>
    <w:rsid w:val="00143E64"/>
    <w:rsid w:val="00143F87"/>
    <w:rsid w:val="00145640"/>
    <w:rsid w:val="00145C26"/>
    <w:rsid w:val="0014632F"/>
    <w:rsid w:val="001470F4"/>
    <w:rsid w:val="0014755E"/>
    <w:rsid w:val="001477C1"/>
    <w:rsid w:val="00147AD3"/>
    <w:rsid w:val="001506DD"/>
    <w:rsid w:val="001506E6"/>
    <w:rsid w:val="0015089C"/>
    <w:rsid w:val="00150C88"/>
    <w:rsid w:val="00151E33"/>
    <w:rsid w:val="001520A2"/>
    <w:rsid w:val="00152231"/>
    <w:rsid w:val="001522BE"/>
    <w:rsid w:val="00152552"/>
    <w:rsid w:val="001528C5"/>
    <w:rsid w:val="00152D7F"/>
    <w:rsid w:val="001530B7"/>
    <w:rsid w:val="00153115"/>
    <w:rsid w:val="00153B75"/>
    <w:rsid w:val="00153D66"/>
    <w:rsid w:val="001541C6"/>
    <w:rsid w:val="00154249"/>
    <w:rsid w:val="0015426E"/>
    <w:rsid w:val="00154601"/>
    <w:rsid w:val="0015486C"/>
    <w:rsid w:val="00154DBA"/>
    <w:rsid w:val="00154FFB"/>
    <w:rsid w:val="001554F4"/>
    <w:rsid w:val="001558D6"/>
    <w:rsid w:val="00155C21"/>
    <w:rsid w:val="0015655B"/>
    <w:rsid w:val="0015681F"/>
    <w:rsid w:val="001569C6"/>
    <w:rsid w:val="00156C64"/>
    <w:rsid w:val="001571BB"/>
    <w:rsid w:val="00157330"/>
    <w:rsid w:val="0015741E"/>
    <w:rsid w:val="00157469"/>
    <w:rsid w:val="0015791E"/>
    <w:rsid w:val="00160529"/>
    <w:rsid w:val="00160A0C"/>
    <w:rsid w:val="00161042"/>
    <w:rsid w:val="0016105A"/>
    <w:rsid w:val="00161CEE"/>
    <w:rsid w:val="00162D1A"/>
    <w:rsid w:val="00162E22"/>
    <w:rsid w:val="00162FD3"/>
    <w:rsid w:val="00163F2F"/>
    <w:rsid w:val="00163F55"/>
    <w:rsid w:val="00164438"/>
    <w:rsid w:val="00164748"/>
    <w:rsid w:val="00164B68"/>
    <w:rsid w:val="00165041"/>
    <w:rsid w:val="0016577E"/>
    <w:rsid w:val="00165F37"/>
    <w:rsid w:val="0016609E"/>
    <w:rsid w:val="00166441"/>
    <w:rsid w:val="00166D08"/>
    <w:rsid w:val="001670C4"/>
    <w:rsid w:val="001671C5"/>
    <w:rsid w:val="001676F8"/>
    <w:rsid w:val="00167BC8"/>
    <w:rsid w:val="00167C07"/>
    <w:rsid w:val="00167C9C"/>
    <w:rsid w:val="00167E16"/>
    <w:rsid w:val="001701F0"/>
    <w:rsid w:val="00170B7D"/>
    <w:rsid w:val="00170C5E"/>
    <w:rsid w:val="001710AD"/>
    <w:rsid w:val="00171143"/>
    <w:rsid w:val="001723FB"/>
    <w:rsid w:val="001725AB"/>
    <w:rsid w:val="00172E97"/>
    <w:rsid w:val="0017307F"/>
    <w:rsid w:val="001730D9"/>
    <w:rsid w:val="001737C5"/>
    <w:rsid w:val="00173835"/>
    <w:rsid w:val="001741E2"/>
    <w:rsid w:val="0017456C"/>
    <w:rsid w:val="0017514E"/>
    <w:rsid w:val="00175D91"/>
    <w:rsid w:val="00175E81"/>
    <w:rsid w:val="00176AA5"/>
    <w:rsid w:val="0017755F"/>
    <w:rsid w:val="00177C36"/>
    <w:rsid w:val="001803FB"/>
    <w:rsid w:val="0018080C"/>
    <w:rsid w:val="001811A6"/>
    <w:rsid w:val="0018151A"/>
    <w:rsid w:val="001817A0"/>
    <w:rsid w:val="0018182D"/>
    <w:rsid w:val="0018207F"/>
    <w:rsid w:val="0018273B"/>
    <w:rsid w:val="00182964"/>
    <w:rsid w:val="00184042"/>
    <w:rsid w:val="001840DC"/>
    <w:rsid w:val="001840F8"/>
    <w:rsid w:val="001849D9"/>
    <w:rsid w:val="00184B59"/>
    <w:rsid w:val="00184D64"/>
    <w:rsid w:val="00185400"/>
    <w:rsid w:val="001862DA"/>
    <w:rsid w:val="0018649E"/>
    <w:rsid w:val="001869A0"/>
    <w:rsid w:val="00186AC2"/>
    <w:rsid w:val="00187283"/>
    <w:rsid w:val="001879D6"/>
    <w:rsid w:val="0019052E"/>
    <w:rsid w:val="00190A10"/>
    <w:rsid w:val="00190A18"/>
    <w:rsid w:val="00190B51"/>
    <w:rsid w:val="001910C9"/>
    <w:rsid w:val="0019113B"/>
    <w:rsid w:val="001911D1"/>
    <w:rsid w:val="00191936"/>
    <w:rsid w:val="00191B41"/>
    <w:rsid w:val="00192035"/>
    <w:rsid w:val="001922C2"/>
    <w:rsid w:val="00192335"/>
    <w:rsid w:val="00192832"/>
    <w:rsid w:val="00192A6C"/>
    <w:rsid w:val="00192F4D"/>
    <w:rsid w:val="00193738"/>
    <w:rsid w:val="00194263"/>
    <w:rsid w:val="001947C5"/>
    <w:rsid w:val="00194958"/>
    <w:rsid w:val="001949E0"/>
    <w:rsid w:val="00194F46"/>
    <w:rsid w:val="001958BA"/>
    <w:rsid w:val="00195BC5"/>
    <w:rsid w:val="00195BE1"/>
    <w:rsid w:val="00195E4C"/>
    <w:rsid w:val="00196601"/>
    <w:rsid w:val="00196654"/>
    <w:rsid w:val="00196C79"/>
    <w:rsid w:val="0019739A"/>
    <w:rsid w:val="001979A5"/>
    <w:rsid w:val="00197B93"/>
    <w:rsid w:val="00197DF5"/>
    <w:rsid w:val="001A064F"/>
    <w:rsid w:val="001A0D24"/>
    <w:rsid w:val="001A0E54"/>
    <w:rsid w:val="001A1B54"/>
    <w:rsid w:val="001A1F39"/>
    <w:rsid w:val="001A26E5"/>
    <w:rsid w:val="001A325E"/>
    <w:rsid w:val="001A3A7C"/>
    <w:rsid w:val="001A3E03"/>
    <w:rsid w:val="001A4531"/>
    <w:rsid w:val="001A4A2E"/>
    <w:rsid w:val="001A506C"/>
    <w:rsid w:val="001A508D"/>
    <w:rsid w:val="001A5CC6"/>
    <w:rsid w:val="001A62DB"/>
    <w:rsid w:val="001A77A0"/>
    <w:rsid w:val="001A77A9"/>
    <w:rsid w:val="001A788E"/>
    <w:rsid w:val="001A7B10"/>
    <w:rsid w:val="001A7E05"/>
    <w:rsid w:val="001B05A0"/>
    <w:rsid w:val="001B0661"/>
    <w:rsid w:val="001B0A25"/>
    <w:rsid w:val="001B1635"/>
    <w:rsid w:val="001B1A25"/>
    <w:rsid w:val="001B1B9E"/>
    <w:rsid w:val="001B20B3"/>
    <w:rsid w:val="001B22D5"/>
    <w:rsid w:val="001B27A6"/>
    <w:rsid w:val="001B2B62"/>
    <w:rsid w:val="001B2D48"/>
    <w:rsid w:val="001B2EAF"/>
    <w:rsid w:val="001B3149"/>
    <w:rsid w:val="001B33C8"/>
    <w:rsid w:val="001B3B1B"/>
    <w:rsid w:val="001B3B51"/>
    <w:rsid w:val="001B3FF6"/>
    <w:rsid w:val="001B5335"/>
    <w:rsid w:val="001B55EA"/>
    <w:rsid w:val="001B5875"/>
    <w:rsid w:val="001B59A6"/>
    <w:rsid w:val="001B5E41"/>
    <w:rsid w:val="001B6606"/>
    <w:rsid w:val="001B6A67"/>
    <w:rsid w:val="001B6A98"/>
    <w:rsid w:val="001B6CDD"/>
    <w:rsid w:val="001B6F8D"/>
    <w:rsid w:val="001C0D86"/>
    <w:rsid w:val="001C140D"/>
    <w:rsid w:val="001C1844"/>
    <w:rsid w:val="001C24F6"/>
    <w:rsid w:val="001C33A6"/>
    <w:rsid w:val="001C3564"/>
    <w:rsid w:val="001C3599"/>
    <w:rsid w:val="001C3C4A"/>
    <w:rsid w:val="001C3D88"/>
    <w:rsid w:val="001C3FA1"/>
    <w:rsid w:val="001C415D"/>
    <w:rsid w:val="001C41EE"/>
    <w:rsid w:val="001C4204"/>
    <w:rsid w:val="001C433B"/>
    <w:rsid w:val="001C50AB"/>
    <w:rsid w:val="001C534C"/>
    <w:rsid w:val="001C5473"/>
    <w:rsid w:val="001C56FD"/>
    <w:rsid w:val="001C577B"/>
    <w:rsid w:val="001C6649"/>
    <w:rsid w:val="001C6A7D"/>
    <w:rsid w:val="001C6C4F"/>
    <w:rsid w:val="001C77DF"/>
    <w:rsid w:val="001C7A0E"/>
    <w:rsid w:val="001C7DBF"/>
    <w:rsid w:val="001D015C"/>
    <w:rsid w:val="001D01A7"/>
    <w:rsid w:val="001D03AF"/>
    <w:rsid w:val="001D04D5"/>
    <w:rsid w:val="001D05EB"/>
    <w:rsid w:val="001D0EF7"/>
    <w:rsid w:val="001D108E"/>
    <w:rsid w:val="001D15E0"/>
    <w:rsid w:val="001D1606"/>
    <w:rsid w:val="001D16D4"/>
    <w:rsid w:val="001D172D"/>
    <w:rsid w:val="001D1C32"/>
    <w:rsid w:val="001D29FB"/>
    <w:rsid w:val="001D2A0D"/>
    <w:rsid w:val="001D31B9"/>
    <w:rsid w:val="001D3520"/>
    <w:rsid w:val="001D366C"/>
    <w:rsid w:val="001D3A4E"/>
    <w:rsid w:val="001D3CB8"/>
    <w:rsid w:val="001D49A3"/>
    <w:rsid w:val="001D49C5"/>
    <w:rsid w:val="001D502E"/>
    <w:rsid w:val="001D52C4"/>
    <w:rsid w:val="001D5F8D"/>
    <w:rsid w:val="001D641D"/>
    <w:rsid w:val="001D665E"/>
    <w:rsid w:val="001D672F"/>
    <w:rsid w:val="001D7028"/>
    <w:rsid w:val="001D78E9"/>
    <w:rsid w:val="001D7A3D"/>
    <w:rsid w:val="001E0043"/>
    <w:rsid w:val="001E03FC"/>
    <w:rsid w:val="001E07DA"/>
    <w:rsid w:val="001E0A60"/>
    <w:rsid w:val="001E1661"/>
    <w:rsid w:val="001E16F2"/>
    <w:rsid w:val="001E1DEF"/>
    <w:rsid w:val="001E2C29"/>
    <w:rsid w:val="001E2C86"/>
    <w:rsid w:val="001E2D5D"/>
    <w:rsid w:val="001E3036"/>
    <w:rsid w:val="001E3147"/>
    <w:rsid w:val="001E3B78"/>
    <w:rsid w:val="001E3E73"/>
    <w:rsid w:val="001E3FD6"/>
    <w:rsid w:val="001E40C0"/>
    <w:rsid w:val="001E45A7"/>
    <w:rsid w:val="001E51EF"/>
    <w:rsid w:val="001E5348"/>
    <w:rsid w:val="001E5BBC"/>
    <w:rsid w:val="001E6398"/>
    <w:rsid w:val="001E64DF"/>
    <w:rsid w:val="001E79EE"/>
    <w:rsid w:val="001E7AF1"/>
    <w:rsid w:val="001E7E84"/>
    <w:rsid w:val="001F0060"/>
    <w:rsid w:val="001F009D"/>
    <w:rsid w:val="001F0739"/>
    <w:rsid w:val="001F0BC3"/>
    <w:rsid w:val="001F150A"/>
    <w:rsid w:val="001F2BF3"/>
    <w:rsid w:val="001F2D26"/>
    <w:rsid w:val="001F2FEF"/>
    <w:rsid w:val="001F3B5F"/>
    <w:rsid w:val="001F44B7"/>
    <w:rsid w:val="001F4CDC"/>
    <w:rsid w:val="001F514F"/>
    <w:rsid w:val="001F5212"/>
    <w:rsid w:val="001F52D0"/>
    <w:rsid w:val="001F5484"/>
    <w:rsid w:val="001F5651"/>
    <w:rsid w:val="001F5834"/>
    <w:rsid w:val="001F59DE"/>
    <w:rsid w:val="001F5C7F"/>
    <w:rsid w:val="001F5D13"/>
    <w:rsid w:val="001F5FDE"/>
    <w:rsid w:val="001F60EB"/>
    <w:rsid w:val="001F6EDA"/>
    <w:rsid w:val="00200085"/>
    <w:rsid w:val="00200184"/>
    <w:rsid w:val="00200D51"/>
    <w:rsid w:val="00200E66"/>
    <w:rsid w:val="00201484"/>
    <w:rsid w:val="00201772"/>
    <w:rsid w:val="002019BD"/>
    <w:rsid w:val="00201C9C"/>
    <w:rsid w:val="00202E31"/>
    <w:rsid w:val="002030D5"/>
    <w:rsid w:val="00203CBC"/>
    <w:rsid w:val="00203DEC"/>
    <w:rsid w:val="00203E5B"/>
    <w:rsid w:val="0020400F"/>
    <w:rsid w:val="002046FB"/>
    <w:rsid w:val="00204C61"/>
    <w:rsid w:val="002063BF"/>
    <w:rsid w:val="0020669C"/>
    <w:rsid w:val="0020774E"/>
    <w:rsid w:val="00207DB9"/>
    <w:rsid w:val="00207E5D"/>
    <w:rsid w:val="002103AE"/>
    <w:rsid w:val="002104F4"/>
    <w:rsid w:val="002107F0"/>
    <w:rsid w:val="00211585"/>
    <w:rsid w:val="00211B4B"/>
    <w:rsid w:val="00211DAF"/>
    <w:rsid w:val="00211F67"/>
    <w:rsid w:val="00211FF3"/>
    <w:rsid w:val="00212144"/>
    <w:rsid w:val="0021214D"/>
    <w:rsid w:val="002124F0"/>
    <w:rsid w:val="00212515"/>
    <w:rsid w:val="00212531"/>
    <w:rsid w:val="002125C1"/>
    <w:rsid w:val="002128F2"/>
    <w:rsid w:val="00213067"/>
    <w:rsid w:val="002131FF"/>
    <w:rsid w:val="0021387A"/>
    <w:rsid w:val="00213AF0"/>
    <w:rsid w:val="00213BE0"/>
    <w:rsid w:val="00214651"/>
    <w:rsid w:val="002147FC"/>
    <w:rsid w:val="00215240"/>
    <w:rsid w:val="00215574"/>
    <w:rsid w:val="00215687"/>
    <w:rsid w:val="002157A5"/>
    <w:rsid w:val="00215A21"/>
    <w:rsid w:val="002161A2"/>
    <w:rsid w:val="002161DD"/>
    <w:rsid w:val="00216347"/>
    <w:rsid w:val="0021677F"/>
    <w:rsid w:val="00216CCB"/>
    <w:rsid w:val="00216EA5"/>
    <w:rsid w:val="00217B36"/>
    <w:rsid w:val="00217B47"/>
    <w:rsid w:val="00217D47"/>
    <w:rsid w:val="00217EDB"/>
    <w:rsid w:val="00220A39"/>
    <w:rsid w:val="00220AAE"/>
    <w:rsid w:val="0022120C"/>
    <w:rsid w:val="00221814"/>
    <w:rsid w:val="00222286"/>
    <w:rsid w:val="00222867"/>
    <w:rsid w:val="002233D2"/>
    <w:rsid w:val="00223749"/>
    <w:rsid w:val="0022422E"/>
    <w:rsid w:val="002242DF"/>
    <w:rsid w:val="0022452E"/>
    <w:rsid w:val="002249A9"/>
    <w:rsid w:val="00224A70"/>
    <w:rsid w:val="00224D48"/>
    <w:rsid w:val="00225137"/>
    <w:rsid w:val="00225428"/>
    <w:rsid w:val="00225D42"/>
    <w:rsid w:val="002260BE"/>
    <w:rsid w:val="00226315"/>
    <w:rsid w:val="00226385"/>
    <w:rsid w:val="002265A7"/>
    <w:rsid w:val="0022677E"/>
    <w:rsid w:val="00226CAE"/>
    <w:rsid w:val="0022702F"/>
    <w:rsid w:val="00227B30"/>
    <w:rsid w:val="00230293"/>
    <w:rsid w:val="00230770"/>
    <w:rsid w:val="00230DB0"/>
    <w:rsid w:val="00230EDA"/>
    <w:rsid w:val="00231DB4"/>
    <w:rsid w:val="002329EC"/>
    <w:rsid w:val="002331A9"/>
    <w:rsid w:val="00233856"/>
    <w:rsid w:val="00233CEF"/>
    <w:rsid w:val="002345B5"/>
    <w:rsid w:val="00234F73"/>
    <w:rsid w:val="00234F88"/>
    <w:rsid w:val="00235680"/>
    <w:rsid w:val="00236234"/>
    <w:rsid w:val="00236466"/>
    <w:rsid w:val="002364B4"/>
    <w:rsid w:val="00236BB7"/>
    <w:rsid w:val="00236BEB"/>
    <w:rsid w:val="00237437"/>
    <w:rsid w:val="0023766B"/>
    <w:rsid w:val="00237AF5"/>
    <w:rsid w:val="00237DAC"/>
    <w:rsid w:val="00237F15"/>
    <w:rsid w:val="00237F72"/>
    <w:rsid w:val="0024016F"/>
    <w:rsid w:val="00240603"/>
    <w:rsid w:val="002406C6"/>
    <w:rsid w:val="00241DCF"/>
    <w:rsid w:val="00242292"/>
    <w:rsid w:val="00242353"/>
    <w:rsid w:val="002424F8"/>
    <w:rsid w:val="00242700"/>
    <w:rsid w:val="002427D0"/>
    <w:rsid w:val="00243151"/>
    <w:rsid w:val="0024366F"/>
    <w:rsid w:val="00244406"/>
    <w:rsid w:val="002451D9"/>
    <w:rsid w:val="00245337"/>
    <w:rsid w:val="00245C3F"/>
    <w:rsid w:val="00245D8D"/>
    <w:rsid w:val="00245FFD"/>
    <w:rsid w:val="002464BA"/>
    <w:rsid w:val="002469EC"/>
    <w:rsid w:val="00247414"/>
    <w:rsid w:val="002475A1"/>
    <w:rsid w:val="0025029E"/>
    <w:rsid w:val="00251CCC"/>
    <w:rsid w:val="00251DFA"/>
    <w:rsid w:val="00252163"/>
    <w:rsid w:val="0025324C"/>
    <w:rsid w:val="00254117"/>
    <w:rsid w:val="002543D4"/>
    <w:rsid w:val="002546F4"/>
    <w:rsid w:val="00254717"/>
    <w:rsid w:val="0025494B"/>
    <w:rsid w:val="00254BB7"/>
    <w:rsid w:val="00255086"/>
    <w:rsid w:val="0025576F"/>
    <w:rsid w:val="002569B3"/>
    <w:rsid w:val="00256BC8"/>
    <w:rsid w:val="002572DE"/>
    <w:rsid w:val="00257658"/>
    <w:rsid w:val="0025796C"/>
    <w:rsid w:val="00260083"/>
    <w:rsid w:val="00260430"/>
    <w:rsid w:val="002605F3"/>
    <w:rsid w:val="0026070F"/>
    <w:rsid w:val="00260A7F"/>
    <w:rsid w:val="00261197"/>
    <w:rsid w:val="00261263"/>
    <w:rsid w:val="00261785"/>
    <w:rsid w:val="002619DE"/>
    <w:rsid w:val="00261D6E"/>
    <w:rsid w:val="00262092"/>
    <w:rsid w:val="0026245E"/>
    <w:rsid w:val="00263130"/>
    <w:rsid w:val="002631E6"/>
    <w:rsid w:val="002635D4"/>
    <w:rsid w:val="00263724"/>
    <w:rsid w:val="00263CB9"/>
    <w:rsid w:val="00263F49"/>
    <w:rsid w:val="00264168"/>
    <w:rsid w:val="0026424A"/>
    <w:rsid w:val="00264628"/>
    <w:rsid w:val="00264FAA"/>
    <w:rsid w:val="002651AC"/>
    <w:rsid w:val="00265904"/>
    <w:rsid w:val="00265ACF"/>
    <w:rsid w:val="00265B13"/>
    <w:rsid w:val="002664F6"/>
    <w:rsid w:val="00267243"/>
    <w:rsid w:val="002673B0"/>
    <w:rsid w:val="00267E0A"/>
    <w:rsid w:val="00270212"/>
    <w:rsid w:val="002711D2"/>
    <w:rsid w:val="00271D28"/>
    <w:rsid w:val="00271FA9"/>
    <w:rsid w:val="0027288A"/>
    <w:rsid w:val="00272AF9"/>
    <w:rsid w:val="00272C68"/>
    <w:rsid w:val="00273CA5"/>
    <w:rsid w:val="002742BE"/>
    <w:rsid w:val="0027449F"/>
    <w:rsid w:val="002752A1"/>
    <w:rsid w:val="00275482"/>
    <w:rsid w:val="002759F3"/>
    <w:rsid w:val="002765C6"/>
    <w:rsid w:val="00276621"/>
    <w:rsid w:val="00276B9D"/>
    <w:rsid w:val="00276D3B"/>
    <w:rsid w:val="0027755D"/>
    <w:rsid w:val="0027773D"/>
    <w:rsid w:val="00277AE1"/>
    <w:rsid w:val="002800DB"/>
    <w:rsid w:val="002802F9"/>
    <w:rsid w:val="0028046D"/>
    <w:rsid w:val="00280602"/>
    <w:rsid w:val="0028074F"/>
    <w:rsid w:val="00280B59"/>
    <w:rsid w:val="002817AD"/>
    <w:rsid w:val="00281C76"/>
    <w:rsid w:val="002820C6"/>
    <w:rsid w:val="002826E8"/>
    <w:rsid w:val="00283546"/>
    <w:rsid w:val="002838EF"/>
    <w:rsid w:val="00283B9B"/>
    <w:rsid w:val="00283C76"/>
    <w:rsid w:val="0028403B"/>
    <w:rsid w:val="002842A7"/>
    <w:rsid w:val="00284664"/>
    <w:rsid w:val="00284720"/>
    <w:rsid w:val="00285013"/>
    <w:rsid w:val="00285135"/>
    <w:rsid w:val="00285701"/>
    <w:rsid w:val="00285F71"/>
    <w:rsid w:val="0028664E"/>
    <w:rsid w:val="00286AA2"/>
    <w:rsid w:val="00286C13"/>
    <w:rsid w:val="00286E0C"/>
    <w:rsid w:val="00287E39"/>
    <w:rsid w:val="00290D86"/>
    <w:rsid w:val="00291100"/>
    <w:rsid w:val="00291768"/>
    <w:rsid w:val="00291859"/>
    <w:rsid w:val="00291F5F"/>
    <w:rsid w:val="0029218D"/>
    <w:rsid w:val="00292B01"/>
    <w:rsid w:val="00292CC0"/>
    <w:rsid w:val="0029349F"/>
    <w:rsid w:val="0029376A"/>
    <w:rsid w:val="00293C8F"/>
    <w:rsid w:val="00293CEA"/>
    <w:rsid w:val="002951F8"/>
    <w:rsid w:val="002965C5"/>
    <w:rsid w:val="00296889"/>
    <w:rsid w:val="00296D40"/>
    <w:rsid w:val="002977AD"/>
    <w:rsid w:val="00297982"/>
    <w:rsid w:val="00297B79"/>
    <w:rsid w:val="002A01CE"/>
    <w:rsid w:val="002A05B6"/>
    <w:rsid w:val="002A150A"/>
    <w:rsid w:val="002A1966"/>
    <w:rsid w:val="002A1CB3"/>
    <w:rsid w:val="002A1F95"/>
    <w:rsid w:val="002A25F0"/>
    <w:rsid w:val="002A26B3"/>
    <w:rsid w:val="002A27D3"/>
    <w:rsid w:val="002A2BFF"/>
    <w:rsid w:val="002A2F2F"/>
    <w:rsid w:val="002A2FE9"/>
    <w:rsid w:val="002A37C2"/>
    <w:rsid w:val="002A401C"/>
    <w:rsid w:val="002A4023"/>
    <w:rsid w:val="002A45B1"/>
    <w:rsid w:val="002A49C5"/>
    <w:rsid w:val="002A4B29"/>
    <w:rsid w:val="002A52AE"/>
    <w:rsid w:val="002A5EF8"/>
    <w:rsid w:val="002A64E0"/>
    <w:rsid w:val="002A6541"/>
    <w:rsid w:val="002A6568"/>
    <w:rsid w:val="002A6A24"/>
    <w:rsid w:val="002A6C00"/>
    <w:rsid w:val="002A6DC5"/>
    <w:rsid w:val="002A7942"/>
    <w:rsid w:val="002B0169"/>
    <w:rsid w:val="002B0558"/>
    <w:rsid w:val="002B079F"/>
    <w:rsid w:val="002B0C8F"/>
    <w:rsid w:val="002B1142"/>
    <w:rsid w:val="002B17FE"/>
    <w:rsid w:val="002B1E6C"/>
    <w:rsid w:val="002B25AD"/>
    <w:rsid w:val="002B25C5"/>
    <w:rsid w:val="002B2B5E"/>
    <w:rsid w:val="002B3545"/>
    <w:rsid w:val="002B369D"/>
    <w:rsid w:val="002B3805"/>
    <w:rsid w:val="002B488B"/>
    <w:rsid w:val="002B4C7C"/>
    <w:rsid w:val="002B5D4A"/>
    <w:rsid w:val="002B633E"/>
    <w:rsid w:val="002B6525"/>
    <w:rsid w:val="002B7051"/>
    <w:rsid w:val="002C0045"/>
    <w:rsid w:val="002C03A3"/>
    <w:rsid w:val="002C0994"/>
    <w:rsid w:val="002C13C7"/>
    <w:rsid w:val="002C1CA8"/>
    <w:rsid w:val="002C1E58"/>
    <w:rsid w:val="002C2C61"/>
    <w:rsid w:val="002C2CF7"/>
    <w:rsid w:val="002C2E4F"/>
    <w:rsid w:val="002C354A"/>
    <w:rsid w:val="002C3719"/>
    <w:rsid w:val="002C392F"/>
    <w:rsid w:val="002C3E44"/>
    <w:rsid w:val="002C422C"/>
    <w:rsid w:val="002C425A"/>
    <w:rsid w:val="002C4558"/>
    <w:rsid w:val="002C475A"/>
    <w:rsid w:val="002C49F5"/>
    <w:rsid w:val="002C4DE6"/>
    <w:rsid w:val="002C4E9C"/>
    <w:rsid w:val="002C56CF"/>
    <w:rsid w:val="002C586F"/>
    <w:rsid w:val="002C5A04"/>
    <w:rsid w:val="002C5AF3"/>
    <w:rsid w:val="002C6501"/>
    <w:rsid w:val="002C6D49"/>
    <w:rsid w:val="002C6DF1"/>
    <w:rsid w:val="002C6EEB"/>
    <w:rsid w:val="002C6FAE"/>
    <w:rsid w:val="002C762D"/>
    <w:rsid w:val="002C7852"/>
    <w:rsid w:val="002D0A89"/>
    <w:rsid w:val="002D0A94"/>
    <w:rsid w:val="002D0AAA"/>
    <w:rsid w:val="002D1265"/>
    <w:rsid w:val="002D1D13"/>
    <w:rsid w:val="002D3CC9"/>
    <w:rsid w:val="002D4511"/>
    <w:rsid w:val="002D49CD"/>
    <w:rsid w:val="002D4A13"/>
    <w:rsid w:val="002D4EA4"/>
    <w:rsid w:val="002D50B0"/>
    <w:rsid w:val="002D57F9"/>
    <w:rsid w:val="002D5826"/>
    <w:rsid w:val="002D6178"/>
    <w:rsid w:val="002D62C4"/>
    <w:rsid w:val="002D63F0"/>
    <w:rsid w:val="002D74DD"/>
    <w:rsid w:val="002D759F"/>
    <w:rsid w:val="002D76A1"/>
    <w:rsid w:val="002D7AF3"/>
    <w:rsid w:val="002E06DF"/>
    <w:rsid w:val="002E0D1C"/>
    <w:rsid w:val="002E1324"/>
    <w:rsid w:val="002E16F5"/>
    <w:rsid w:val="002E2290"/>
    <w:rsid w:val="002E330E"/>
    <w:rsid w:val="002E3DE0"/>
    <w:rsid w:val="002E3EF0"/>
    <w:rsid w:val="002E6239"/>
    <w:rsid w:val="002E644A"/>
    <w:rsid w:val="002E7082"/>
    <w:rsid w:val="002E7D70"/>
    <w:rsid w:val="002E7E80"/>
    <w:rsid w:val="002E7FFD"/>
    <w:rsid w:val="002F0195"/>
    <w:rsid w:val="002F1451"/>
    <w:rsid w:val="002F179E"/>
    <w:rsid w:val="002F1C7B"/>
    <w:rsid w:val="002F1CEB"/>
    <w:rsid w:val="002F1E9D"/>
    <w:rsid w:val="002F21A5"/>
    <w:rsid w:val="002F221F"/>
    <w:rsid w:val="002F2D0A"/>
    <w:rsid w:val="002F2D26"/>
    <w:rsid w:val="002F2F5D"/>
    <w:rsid w:val="002F2FF5"/>
    <w:rsid w:val="002F3316"/>
    <w:rsid w:val="002F361C"/>
    <w:rsid w:val="002F3B9D"/>
    <w:rsid w:val="002F3BF1"/>
    <w:rsid w:val="002F41E9"/>
    <w:rsid w:val="002F4583"/>
    <w:rsid w:val="002F46F1"/>
    <w:rsid w:val="002F4908"/>
    <w:rsid w:val="002F49EE"/>
    <w:rsid w:val="002F53A5"/>
    <w:rsid w:val="002F584C"/>
    <w:rsid w:val="002F62BB"/>
    <w:rsid w:val="002F62C0"/>
    <w:rsid w:val="002F63A2"/>
    <w:rsid w:val="002F6926"/>
    <w:rsid w:val="002F6CA6"/>
    <w:rsid w:val="002F7A43"/>
    <w:rsid w:val="002F7D09"/>
    <w:rsid w:val="002F7E56"/>
    <w:rsid w:val="002F7FEF"/>
    <w:rsid w:val="003006CC"/>
    <w:rsid w:val="003007CB"/>
    <w:rsid w:val="00301064"/>
    <w:rsid w:val="003015FD"/>
    <w:rsid w:val="00301768"/>
    <w:rsid w:val="00301A74"/>
    <w:rsid w:val="00301C61"/>
    <w:rsid w:val="00304DB4"/>
    <w:rsid w:val="00305C0F"/>
    <w:rsid w:val="003060B8"/>
    <w:rsid w:val="003068B8"/>
    <w:rsid w:val="00306C65"/>
    <w:rsid w:val="00310A79"/>
    <w:rsid w:val="00310AD5"/>
    <w:rsid w:val="00310FF0"/>
    <w:rsid w:val="0031124F"/>
    <w:rsid w:val="00311676"/>
    <w:rsid w:val="003122C6"/>
    <w:rsid w:val="00312323"/>
    <w:rsid w:val="0031253D"/>
    <w:rsid w:val="00312668"/>
    <w:rsid w:val="003136AD"/>
    <w:rsid w:val="003136F0"/>
    <w:rsid w:val="003138C0"/>
    <w:rsid w:val="0031392E"/>
    <w:rsid w:val="00313A75"/>
    <w:rsid w:val="00313B59"/>
    <w:rsid w:val="00313EAE"/>
    <w:rsid w:val="0031441C"/>
    <w:rsid w:val="00314A32"/>
    <w:rsid w:val="00314BAD"/>
    <w:rsid w:val="00314F4E"/>
    <w:rsid w:val="00315438"/>
    <w:rsid w:val="00315B7F"/>
    <w:rsid w:val="003161C0"/>
    <w:rsid w:val="00316F91"/>
    <w:rsid w:val="0031724B"/>
    <w:rsid w:val="003173CB"/>
    <w:rsid w:val="0031772B"/>
    <w:rsid w:val="00317755"/>
    <w:rsid w:val="0031795F"/>
    <w:rsid w:val="00317AC6"/>
    <w:rsid w:val="00317B26"/>
    <w:rsid w:val="00317F7B"/>
    <w:rsid w:val="003200DA"/>
    <w:rsid w:val="003206CA"/>
    <w:rsid w:val="00320720"/>
    <w:rsid w:val="00320B91"/>
    <w:rsid w:val="00321265"/>
    <w:rsid w:val="00323D59"/>
    <w:rsid w:val="0032405F"/>
    <w:rsid w:val="0032432D"/>
    <w:rsid w:val="00324476"/>
    <w:rsid w:val="00324A16"/>
    <w:rsid w:val="00324A5E"/>
    <w:rsid w:val="00324C24"/>
    <w:rsid w:val="00324F24"/>
    <w:rsid w:val="00325ACC"/>
    <w:rsid w:val="003269C0"/>
    <w:rsid w:val="0032732B"/>
    <w:rsid w:val="00327488"/>
    <w:rsid w:val="003276A1"/>
    <w:rsid w:val="003276C7"/>
    <w:rsid w:val="00327F72"/>
    <w:rsid w:val="003304C6"/>
    <w:rsid w:val="003305F2"/>
    <w:rsid w:val="0033064E"/>
    <w:rsid w:val="0033081E"/>
    <w:rsid w:val="00331134"/>
    <w:rsid w:val="00331728"/>
    <w:rsid w:val="0033180D"/>
    <w:rsid w:val="003318AE"/>
    <w:rsid w:val="00331A03"/>
    <w:rsid w:val="00331CD6"/>
    <w:rsid w:val="00331CFF"/>
    <w:rsid w:val="00332100"/>
    <w:rsid w:val="003323A3"/>
    <w:rsid w:val="00332A91"/>
    <w:rsid w:val="00332CB3"/>
    <w:rsid w:val="00332CC0"/>
    <w:rsid w:val="003334FD"/>
    <w:rsid w:val="00333639"/>
    <w:rsid w:val="00333686"/>
    <w:rsid w:val="003336AE"/>
    <w:rsid w:val="003336B6"/>
    <w:rsid w:val="00333E26"/>
    <w:rsid w:val="00333EAF"/>
    <w:rsid w:val="003340CF"/>
    <w:rsid w:val="003345F1"/>
    <w:rsid w:val="0033487D"/>
    <w:rsid w:val="0033492A"/>
    <w:rsid w:val="0033549A"/>
    <w:rsid w:val="003354D6"/>
    <w:rsid w:val="00335650"/>
    <w:rsid w:val="00335C25"/>
    <w:rsid w:val="00336294"/>
    <w:rsid w:val="00336352"/>
    <w:rsid w:val="003364DC"/>
    <w:rsid w:val="00336903"/>
    <w:rsid w:val="00336AE7"/>
    <w:rsid w:val="00336D49"/>
    <w:rsid w:val="003379BE"/>
    <w:rsid w:val="00337A35"/>
    <w:rsid w:val="00340C40"/>
    <w:rsid w:val="00341966"/>
    <w:rsid w:val="00341A7E"/>
    <w:rsid w:val="0034207A"/>
    <w:rsid w:val="00342730"/>
    <w:rsid w:val="00342936"/>
    <w:rsid w:val="00343651"/>
    <w:rsid w:val="003439AD"/>
    <w:rsid w:val="00343E52"/>
    <w:rsid w:val="00344B71"/>
    <w:rsid w:val="00345D9B"/>
    <w:rsid w:val="00346120"/>
    <w:rsid w:val="003469CB"/>
    <w:rsid w:val="00346D65"/>
    <w:rsid w:val="003470B9"/>
    <w:rsid w:val="00347C3D"/>
    <w:rsid w:val="00347FE3"/>
    <w:rsid w:val="00351220"/>
    <w:rsid w:val="0035166F"/>
    <w:rsid w:val="00351EB0"/>
    <w:rsid w:val="0035212B"/>
    <w:rsid w:val="003521F3"/>
    <w:rsid w:val="003525D1"/>
    <w:rsid w:val="00352E78"/>
    <w:rsid w:val="00353291"/>
    <w:rsid w:val="00354411"/>
    <w:rsid w:val="00354987"/>
    <w:rsid w:val="00354E2C"/>
    <w:rsid w:val="0035691C"/>
    <w:rsid w:val="00356ABF"/>
    <w:rsid w:val="003578A9"/>
    <w:rsid w:val="003579FE"/>
    <w:rsid w:val="00360337"/>
    <w:rsid w:val="003605A1"/>
    <w:rsid w:val="00360791"/>
    <w:rsid w:val="00360B1D"/>
    <w:rsid w:val="00361149"/>
    <w:rsid w:val="00361705"/>
    <w:rsid w:val="0036186D"/>
    <w:rsid w:val="00361BE9"/>
    <w:rsid w:val="00362776"/>
    <w:rsid w:val="003628A9"/>
    <w:rsid w:val="00362FFA"/>
    <w:rsid w:val="00363428"/>
    <w:rsid w:val="003635EE"/>
    <w:rsid w:val="00363869"/>
    <w:rsid w:val="00363A10"/>
    <w:rsid w:val="00363D9F"/>
    <w:rsid w:val="00364270"/>
    <w:rsid w:val="00364B1C"/>
    <w:rsid w:val="003651B2"/>
    <w:rsid w:val="003653FC"/>
    <w:rsid w:val="00365649"/>
    <w:rsid w:val="00365838"/>
    <w:rsid w:val="00365885"/>
    <w:rsid w:val="003662E6"/>
    <w:rsid w:val="00366AAB"/>
    <w:rsid w:val="00366B15"/>
    <w:rsid w:val="00366CE9"/>
    <w:rsid w:val="00366D5D"/>
    <w:rsid w:val="00367029"/>
    <w:rsid w:val="0036721D"/>
    <w:rsid w:val="003672BD"/>
    <w:rsid w:val="00367B5C"/>
    <w:rsid w:val="00367D8A"/>
    <w:rsid w:val="003700AF"/>
    <w:rsid w:val="003703C9"/>
    <w:rsid w:val="0037053B"/>
    <w:rsid w:val="003708DC"/>
    <w:rsid w:val="00370EB8"/>
    <w:rsid w:val="00370FEA"/>
    <w:rsid w:val="00372419"/>
    <w:rsid w:val="0037287D"/>
    <w:rsid w:val="003735CE"/>
    <w:rsid w:val="00374191"/>
    <w:rsid w:val="003743B0"/>
    <w:rsid w:val="0037483A"/>
    <w:rsid w:val="00374FBB"/>
    <w:rsid w:val="003753AD"/>
    <w:rsid w:val="003754C5"/>
    <w:rsid w:val="00375546"/>
    <w:rsid w:val="00375CB9"/>
    <w:rsid w:val="00375E79"/>
    <w:rsid w:val="00376370"/>
    <w:rsid w:val="00376378"/>
    <w:rsid w:val="00376743"/>
    <w:rsid w:val="00376D7C"/>
    <w:rsid w:val="00376F6A"/>
    <w:rsid w:val="00377859"/>
    <w:rsid w:val="00377DBD"/>
    <w:rsid w:val="00380075"/>
    <w:rsid w:val="003802BE"/>
    <w:rsid w:val="003806B2"/>
    <w:rsid w:val="00380851"/>
    <w:rsid w:val="003808EC"/>
    <w:rsid w:val="00380982"/>
    <w:rsid w:val="00381327"/>
    <w:rsid w:val="003814D5"/>
    <w:rsid w:val="00382199"/>
    <w:rsid w:val="00382737"/>
    <w:rsid w:val="0038296F"/>
    <w:rsid w:val="00382CE0"/>
    <w:rsid w:val="0038419D"/>
    <w:rsid w:val="003848B2"/>
    <w:rsid w:val="00384F58"/>
    <w:rsid w:val="00385E8A"/>
    <w:rsid w:val="00385EDF"/>
    <w:rsid w:val="00386074"/>
    <w:rsid w:val="003860AF"/>
    <w:rsid w:val="003863A1"/>
    <w:rsid w:val="003867DC"/>
    <w:rsid w:val="00386CE1"/>
    <w:rsid w:val="00387236"/>
    <w:rsid w:val="0038759B"/>
    <w:rsid w:val="00387D1A"/>
    <w:rsid w:val="00387D33"/>
    <w:rsid w:val="003902C7"/>
    <w:rsid w:val="00390512"/>
    <w:rsid w:val="00390A1A"/>
    <w:rsid w:val="00390E00"/>
    <w:rsid w:val="00391336"/>
    <w:rsid w:val="00391FAA"/>
    <w:rsid w:val="0039420A"/>
    <w:rsid w:val="00394346"/>
    <w:rsid w:val="003943E2"/>
    <w:rsid w:val="00394ED0"/>
    <w:rsid w:val="00394FE3"/>
    <w:rsid w:val="0039522B"/>
    <w:rsid w:val="003953C1"/>
    <w:rsid w:val="00395672"/>
    <w:rsid w:val="0039573B"/>
    <w:rsid w:val="0039582F"/>
    <w:rsid w:val="0039588B"/>
    <w:rsid w:val="00395FBC"/>
    <w:rsid w:val="00396265"/>
    <w:rsid w:val="00396498"/>
    <w:rsid w:val="0039658D"/>
    <w:rsid w:val="0039662E"/>
    <w:rsid w:val="00396809"/>
    <w:rsid w:val="00396878"/>
    <w:rsid w:val="00396889"/>
    <w:rsid w:val="00396EE7"/>
    <w:rsid w:val="00397071"/>
    <w:rsid w:val="003A073A"/>
    <w:rsid w:val="003A08B2"/>
    <w:rsid w:val="003A0F29"/>
    <w:rsid w:val="003A0FB2"/>
    <w:rsid w:val="003A11EB"/>
    <w:rsid w:val="003A12F0"/>
    <w:rsid w:val="003A15ED"/>
    <w:rsid w:val="003A17D0"/>
    <w:rsid w:val="003A4012"/>
    <w:rsid w:val="003A4463"/>
    <w:rsid w:val="003A4DC8"/>
    <w:rsid w:val="003A4E86"/>
    <w:rsid w:val="003A5263"/>
    <w:rsid w:val="003A54FE"/>
    <w:rsid w:val="003A5D89"/>
    <w:rsid w:val="003A71B7"/>
    <w:rsid w:val="003A73D1"/>
    <w:rsid w:val="003B07A4"/>
    <w:rsid w:val="003B1063"/>
    <w:rsid w:val="003B1389"/>
    <w:rsid w:val="003B1795"/>
    <w:rsid w:val="003B204B"/>
    <w:rsid w:val="003B23E2"/>
    <w:rsid w:val="003B23FA"/>
    <w:rsid w:val="003B2602"/>
    <w:rsid w:val="003B36EE"/>
    <w:rsid w:val="003B3F81"/>
    <w:rsid w:val="003B4B25"/>
    <w:rsid w:val="003B5119"/>
    <w:rsid w:val="003B6011"/>
    <w:rsid w:val="003B6724"/>
    <w:rsid w:val="003B6B44"/>
    <w:rsid w:val="003B717F"/>
    <w:rsid w:val="003B73D2"/>
    <w:rsid w:val="003B7709"/>
    <w:rsid w:val="003C0395"/>
    <w:rsid w:val="003C0742"/>
    <w:rsid w:val="003C10A7"/>
    <w:rsid w:val="003C1405"/>
    <w:rsid w:val="003C190A"/>
    <w:rsid w:val="003C1B6C"/>
    <w:rsid w:val="003C2D9D"/>
    <w:rsid w:val="003C2EE2"/>
    <w:rsid w:val="003C31D7"/>
    <w:rsid w:val="003C3C4E"/>
    <w:rsid w:val="003C3CD8"/>
    <w:rsid w:val="003C3F68"/>
    <w:rsid w:val="003C3F7F"/>
    <w:rsid w:val="003C4351"/>
    <w:rsid w:val="003C4381"/>
    <w:rsid w:val="003C4460"/>
    <w:rsid w:val="003C459F"/>
    <w:rsid w:val="003C4807"/>
    <w:rsid w:val="003C4838"/>
    <w:rsid w:val="003C4852"/>
    <w:rsid w:val="003C4874"/>
    <w:rsid w:val="003C4F45"/>
    <w:rsid w:val="003C5C0D"/>
    <w:rsid w:val="003C5C62"/>
    <w:rsid w:val="003C68F9"/>
    <w:rsid w:val="003C6FDD"/>
    <w:rsid w:val="003C747D"/>
    <w:rsid w:val="003D060A"/>
    <w:rsid w:val="003D0B4A"/>
    <w:rsid w:val="003D1806"/>
    <w:rsid w:val="003D196C"/>
    <w:rsid w:val="003D1A7A"/>
    <w:rsid w:val="003D1B4D"/>
    <w:rsid w:val="003D1BDE"/>
    <w:rsid w:val="003D2FD8"/>
    <w:rsid w:val="003D3011"/>
    <w:rsid w:val="003D34C8"/>
    <w:rsid w:val="003D3BC1"/>
    <w:rsid w:val="003D438A"/>
    <w:rsid w:val="003D4984"/>
    <w:rsid w:val="003D4A21"/>
    <w:rsid w:val="003D5881"/>
    <w:rsid w:val="003D5F33"/>
    <w:rsid w:val="003D6B63"/>
    <w:rsid w:val="003D7492"/>
    <w:rsid w:val="003D7A66"/>
    <w:rsid w:val="003D7BBB"/>
    <w:rsid w:val="003D7CD5"/>
    <w:rsid w:val="003D7F25"/>
    <w:rsid w:val="003E027A"/>
    <w:rsid w:val="003E0820"/>
    <w:rsid w:val="003E0A56"/>
    <w:rsid w:val="003E1D66"/>
    <w:rsid w:val="003E1E3C"/>
    <w:rsid w:val="003E2565"/>
    <w:rsid w:val="003E2AB5"/>
    <w:rsid w:val="003E2BEA"/>
    <w:rsid w:val="003E2D3A"/>
    <w:rsid w:val="003E2E1D"/>
    <w:rsid w:val="003E31C1"/>
    <w:rsid w:val="003E3905"/>
    <w:rsid w:val="003E3B49"/>
    <w:rsid w:val="003E3B83"/>
    <w:rsid w:val="003E3EA5"/>
    <w:rsid w:val="003E3F7C"/>
    <w:rsid w:val="003E4AC9"/>
    <w:rsid w:val="003E55E0"/>
    <w:rsid w:val="003E56C1"/>
    <w:rsid w:val="003E5A3F"/>
    <w:rsid w:val="003E63E6"/>
    <w:rsid w:val="003E6728"/>
    <w:rsid w:val="003E72D2"/>
    <w:rsid w:val="003E7772"/>
    <w:rsid w:val="003E78A4"/>
    <w:rsid w:val="003E7D09"/>
    <w:rsid w:val="003F00ED"/>
    <w:rsid w:val="003F0278"/>
    <w:rsid w:val="003F047A"/>
    <w:rsid w:val="003F0DEA"/>
    <w:rsid w:val="003F0E16"/>
    <w:rsid w:val="003F0FB5"/>
    <w:rsid w:val="003F155C"/>
    <w:rsid w:val="003F172B"/>
    <w:rsid w:val="003F20B7"/>
    <w:rsid w:val="003F24E4"/>
    <w:rsid w:val="003F28F3"/>
    <w:rsid w:val="003F2971"/>
    <w:rsid w:val="003F3C73"/>
    <w:rsid w:val="003F4238"/>
    <w:rsid w:val="003F4757"/>
    <w:rsid w:val="003F5086"/>
    <w:rsid w:val="003F5CE3"/>
    <w:rsid w:val="003F5F40"/>
    <w:rsid w:val="003F65B0"/>
    <w:rsid w:val="003F6883"/>
    <w:rsid w:val="003F69BF"/>
    <w:rsid w:val="003F70D4"/>
    <w:rsid w:val="003F7129"/>
    <w:rsid w:val="003F753E"/>
    <w:rsid w:val="003F7961"/>
    <w:rsid w:val="0040007B"/>
    <w:rsid w:val="00400774"/>
    <w:rsid w:val="00401025"/>
    <w:rsid w:val="00401267"/>
    <w:rsid w:val="004012FF"/>
    <w:rsid w:val="00401308"/>
    <w:rsid w:val="004014B3"/>
    <w:rsid w:val="00401538"/>
    <w:rsid w:val="004017C0"/>
    <w:rsid w:val="00401912"/>
    <w:rsid w:val="0040194F"/>
    <w:rsid w:val="00401CE2"/>
    <w:rsid w:val="00402447"/>
    <w:rsid w:val="00402547"/>
    <w:rsid w:val="00402683"/>
    <w:rsid w:val="00402694"/>
    <w:rsid w:val="00402932"/>
    <w:rsid w:val="00402B3F"/>
    <w:rsid w:val="00402C90"/>
    <w:rsid w:val="00402D47"/>
    <w:rsid w:val="004039EC"/>
    <w:rsid w:val="00403A33"/>
    <w:rsid w:val="004045F2"/>
    <w:rsid w:val="00404C58"/>
    <w:rsid w:val="00404D8B"/>
    <w:rsid w:val="00404F71"/>
    <w:rsid w:val="0040545C"/>
    <w:rsid w:val="00405DDC"/>
    <w:rsid w:val="00405F29"/>
    <w:rsid w:val="00406B51"/>
    <w:rsid w:val="0040706A"/>
    <w:rsid w:val="004071D0"/>
    <w:rsid w:val="0040742D"/>
    <w:rsid w:val="004075C7"/>
    <w:rsid w:val="004076BC"/>
    <w:rsid w:val="00407B7C"/>
    <w:rsid w:val="00410049"/>
    <w:rsid w:val="0041079B"/>
    <w:rsid w:val="00410874"/>
    <w:rsid w:val="0041095D"/>
    <w:rsid w:val="00410C0C"/>
    <w:rsid w:val="00410F68"/>
    <w:rsid w:val="00411B91"/>
    <w:rsid w:val="00411BDA"/>
    <w:rsid w:val="00411E28"/>
    <w:rsid w:val="00411FDD"/>
    <w:rsid w:val="00412004"/>
    <w:rsid w:val="00412342"/>
    <w:rsid w:val="00412C4B"/>
    <w:rsid w:val="00413421"/>
    <w:rsid w:val="00413643"/>
    <w:rsid w:val="00413993"/>
    <w:rsid w:val="00413CE2"/>
    <w:rsid w:val="00414751"/>
    <w:rsid w:val="00414B25"/>
    <w:rsid w:val="00415682"/>
    <w:rsid w:val="00416B98"/>
    <w:rsid w:val="00416C78"/>
    <w:rsid w:val="00416C87"/>
    <w:rsid w:val="00416E70"/>
    <w:rsid w:val="00417AC1"/>
    <w:rsid w:val="00417ACE"/>
    <w:rsid w:val="00417BE9"/>
    <w:rsid w:val="004205F5"/>
    <w:rsid w:val="00420603"/>
    <w:rsid w:val="00421014"/>
    <w:rsid w:val="00421AC8"/>
    <w:rsid w:val="00421EC1"/>
    <w:rsid w:val="0042356E"/>
    <w:rsid w:val="00423C34"/>
    <w:rsid w:val="00424337"/>
    <w:rsid w:val="00424D43"/>
    <w:rsid w:val="00425227"/>
    <w:rsid w:val="004252E0"/>
    <w:rsid w:val="004259A5"/>
    <w:rsid w:val="00426E43"/>
    <w:rsid w:val="00427417"/>
    <w:rsid w:val="004275D9"/>
    <w:rsid w:val="00427B5D"/>
    <w:rsid w:val="00427DDE"/>
    <w:rsid w:val="00427F9B"/>
    <w:rsid w:val="00430CE9"/>
    <w:rsid w:val="00430DD9"/>
    <w:rsid w:val="00430E06"/>
    <w:rsid w:val="0043141B"/>
    <w:rsid w:val="0043147A"/>
    <w:rsid w:val="00431B75"/>
    <w:rsid w:val="00431C04"/>
    <w:rsid w:val="00431E45"/>
    <w:rsid w:val="00431E89"/>
    <w:rsid w:val="0043218F"/>
    <w:rsid w:val="004326E9"/>
    <w:rsid w:val="004335CC"/>
    <w:rsid w:val="00433780"/>
    <w:rsid w:val="004338EA"/>
    <w:rsid w:val="00434230"/>
    <w:rsid w:val="00434882"/>
    <w:rsid w:val="0043495F"/>
    <w:rsid w:val="00434A8D"/>
    <w:rsid w:val="00434EDB"/>
    <w:rsid w:val="00435910"/>
    <w:rsid w:val="00435FBE"/>
    <w:rsid w:val="004361F4"/>
    <w:rsid w:val="004367C5"/>
    <w:rsid w:val="0043682F"/>
    <w:rsid w:val="00437000"/>
    <w:rsid w:val="00437908"/>
    <w:rsid w:val="00437A14"/>
    <w:rsid w:val="00437A75"/>
    <w:rsid w:val="00440BF8"/>
    <w:rsid w:val="00441CFB"/>
    <w:rsid w:val="00441E5B"/>
    <w:rsid w:val="004421EB"/>
    <w:rsid w:val="00442A7D"/>
    <w:rsid w:val="00442E1B"/>
    <w:rsid w:val="00442F07"/>
    <w:rsid w:val="0044319D"/>
    <w:rsid w:val="004432BB"/>
    <w:rsid w:val="004432DE"/>
    <w:rsid w:val="004432FC"/>
    <w:rsid w:val="004436AA"/>
    <w:rsid w:val="004438FB"/>
    <w:rsid w:val="00444918"/>
    <w:rsid w:val="004459C3"/>
    <w:rsid w:val="00445A74"/>
    <w:rsid w:val="00446E1A"/>
    <w:rsid w:val="0044717F"/>
    <w:rsid w:val="00447284"/>
    <w:rsid w:val="0044734C"/>
    <w:rsid w:val="004478DD"/>
    <w:rsid w:val="00447933"/>
    <w:rsid w:val="00447C22"/>
    <w:rsid w:val="00447C5F"/>
    <w:rsid w:val="00447E9F"/>
    <w:rsid w:val="00447EC9"/>
    <w:rsid w:val="00450E9C"/>
    <w:rsid w:val="00451208"/>
    <w:rsid w:val="00451611"/>
    <w:rsid w:val="0045167D"/>
    <w:rsid w:val="004518F9"/>
    <w:rsid w:val="00451A2B"/>
    <w:rsid w:val="00451E0D"/>
    <w:rsid w:val="0045227C"/>
    <w:rsid w:val="004524F7"/>
    <w:rsid w:val="00452C19"/>
    <w:rsid w:val="00452CA8"/>
    <w:rsid w:val="00453152"/>
    <w:rsid w:val="00453810"/>
    <w:rsid w:val="00453AAF"/>
    <w:rsid w:val="00453E21"/>
    <w:rsid w:val="00453EF2"/>
    <w:rsid w:val="00454420"/>
    <w:rsid w:val="00454CA9"/>
    <w:rsid w:val="00455E5F"/>
    <w:rsid w:val="00456015"/>
    <w:rsid w:val="00456282"/>
    <w:rsid w:val="00456B26"/>
    <w:rsid w:val="00456C6B"/>
    <w:rsid w:val="00456D6D"/>
    <w:rsid w:val="00457441"/>
    <w:rsid w:val="004575DF"/>
    <w:rsid w:val="00457662"/>
    <w:rsid w:val="00457E94"/>
    <w:rsid w:val="0046049A"/>
    <w:rsid w:val="00460CC0"/>
    <w:rsid w:val="00460CFA"/>
    <w:rsid w:val="00462C3E"/>
    <w:rsid w:val="00463362"/>
    <w:rsid w:val="004635CB"/>
    <w:rsid w:val="004645BF"/>
    <w:rsid w:val="00465400"/>
    <w:rsid w:val="00465607"/>
    <w:rsid w:val="00466180"/>
    <w:rsid w:val="00466797"/>
    <w:rsid w:val="00467359"/>
    <w:rsid w:val="0046792B"/>
    <w:rsid w:val="004704E2"/>
    <w:rsid w:val="00470AC0"/>
    <w:rsid w:val="00471086"/>
    <w:rsid w:val="00471785"/>
    <w:rsid w:val="00471BF3"/>
    <w:rsid w:val="00472142"/>
    <w:rsid w:val="00472356"/>
    <w:rsid w:val="004723E5"/>
    <w:rsid w:val="00472442"/>
    <w:rsid w:val="004726E1"/>
    <w:rsid w:val="00472746"/>
    <w:rsid w:val="00472C05"/>
    <w:rsid w:val="004732D2"/>
    <w:rsid w:val="00473575"/>
    <w:rsid w:val="004736F0"/>
    <w:rsid w:val="00473AA5"/>
    <w:rsid w:val="00473EEA"/>
    <w:rsid w:val="00473FAB"/>
    <w:rsid w:val="00473FF2"/>
    <w:rsid w:val="004749B8"/>
    <w:rsid w:val="00474EEC"/>
    <w:rsid w:val="00475809"/>
    <w:rsid w:val="00475954"/>
    <w:rsid w:val="00476168"/>
    <w:rsid w:val="004763A0"/>
    <w:rsid w:val="00477024"/>
    <w:rsid w:val="00477571"/>
    <w:rsid w:val="00477D9F"/>
    <w:rsid w:val="00477F52"/>
    <w:rsid w:val="004800EE"/>
    <w:rsid w:val="0048019C"/>
    <w:rsid w:val="004805B0"/>
    <w:rsid w:val="004805E2"/>
    <w:rsid w:val="00480CAC"/>
    <w:rsid w:val="00480F9C"/>
    <w:rsid w:val="004822C1"/>
    <w:rsid w:val="0048265E"/>
    <w:rsid w:val="004826E7"/>
    <w:rsid w:val="0048278F"/>
    <w:rsid w:val="00482A57"/>
    <w:rsid w:val="00482AEF"/>
    <w:rsid w:val="00482C85"/>
    <w:rsid w:val="00483F71"/>
    <w:rsid w:val="004840D4"/>
    <w:rsid w:val="0048446B"/>
    <w:rsid w:val="00484D31"/>
    <w:rsid w:val="00485130"/>
    <w:rsid w:val="00485FC8"/>
    <w:rsid w:val="0048636F"/>
    <w:rsid w:val="00487084"/>
    <w:rsid w:val="00487549"/>
    <w:rsid w:val="00487A01"/>
    <w:rsid w:val="00487DCB"/>
    <w:rsid w:val="00487FFE"/>
    <w:rsid w:val="00490065"/>
    <w:rsid w:val="00490C34"/>
    <w:rsid w:val="00491328"/>
    <w:rsid w:val="004913EA"/>
    <w:rsid w:val="004923ED"/>
    <w:rsid w:val="00492E91"/>
    <w:rsid w:val="00493AFA"/>
    <w:rsid w:val="0049434B"/>
    <w:rsid w:val="0049450D"/>
    <w:rsid w:val="00494595"/>
    <w:rsid w:val="00494C46"/>
    <w:rsid w:val="00494D62"/>
    <w:rsid w:val="00495033"/>
    <w:rsid w:val="00495073"/>
    <w:rsid w:val="004958D2"/>
    <w:rsid w:val="004959BD"/>
    <w:rsid w:val="0049652D"/>
    <w:rsid w:val="0049663A"/>
    <w:rsid w:val="00496D5B"/>
    <w:rsid w:val="00496EDC"/>
    <w:rsid w:val="004972C7"/>
    <w:rsid w:val="004976B0"/>
    <w:rsid w:val="00497DFE"/>
    <w:rsid w:val="00497FDD"/>
    <w:rsid w:val="004A0272"/>
    <w:rsid w:val="004A03C2"/>
    <w:rsid w:val="004A169F"/>
    <w:rsid w:val="004A1777"/>
    <w:rsid w:val="004A191E"/>
    <w:rsid w:val="004A1932"/>
    <w:rsid w:val="004A220D"/>
    <w:rsid w:val="004A2238"/>
    <w:rsid w:val="004A2564"/>
    <w:rsid w:val="004A2983"/>
    <w:rsid w:val="004A2ECB"/>
    <w:rsid w:val="004A3678"/>
    <w:rsid w:val="004A36B5"/>
    <w:rsid w:val="004A43A3"/>
    <w:rsid w:val="004A4703"/>
    <w:rsid w:val="004A470A"/>
    <w:rsid w:val="004A47E8"/>
    <w:rsid w:val="004A57E5"/>
    <w:rsid w:val="004A57E6"/>
    <w:rsid w:val="004A5913"/>
    <w:rsid w:val="004A5D23"/>
    <w:rsid w:val="004A6737"/>
    <w:rsid w:val="004A6BB1"/>
    <w:rsid w:val="004B000F"/>
    <w:rsid w:val="004B06B9"/>
    <w:rsid w:val="004B0C0D"/>
    <w:rsid w:val="004B15F6"/>
    <w:rsid w:val="004B1837"/>
    <w:rsid w:val="004B1E62"/>
    <w:rsid w:val="004B2369"/>
    <w:rsid w:val="004B2841"/>
    <w:rsid w:val="004B324B"/>
    <w:rsid w:val="004B345C"/>
    <w:rsid w:val="004B34B7"/>
    <w:rsid w:val="004B3510"/>
    <w:rsid w:val="004B44AB"/>
    <w:rsid w:val="004B46F0"/>
    <w:rsid w:val="004B475E"/>
    <w:rsid w:val="004B4E03"/>
    <w:rsid w:val="004B67DB"/>
    <w:rsid w:val="004B6AA9"/>
    <w:rsid w:val="004C0165"/>
    <w:rsid w:val="004C0A76"/>
    <w:rsid w:val="004C0D71"/>
    <w:rsid w:val="004C12D2"/>
    <w:rsid w:val="004C141E"/>
    <w:rsid w:val="004C19FE"/>
    <w:rsid w:val="004C1CDB"/>
    <w:rsid w:val="004C1E40"/>
    <w:rsid w:val="004C1E50"/>
    <w:rsid w:val="004C200A"/>
    <w:rsid w:val="004C3881"/>
    <w:rsid w:val="004C3B84"/>
    <w:rsid w:val="004C3D0C"/>
    <w:rsid w:val="004C41D4"/>
    <w:rsid w:val="004C4940"/>
    <w:rsid w:val="004C566C"/>
    <w:rsid w:val="004C56BD"/>
    <w:rsid w:val="004C6AA9"/>
    <w:rsid w:val="004C71EB"/>
    <w:rsid w:val="004C736F"/>
    <w:rsid w:val="004C7693"/>
    <w:rsid w:val="004C7CE3"/>
    <w:rsid w:val="004D0411"/>
    <w:rsid w:val="004D0654"/>
    <w:rsid w:val="004D0B39"/>
    <w:rsid w:val="004D128F"/>
    <w:rsid w:val="004D1B0D"/>
    <w:rsid w:val="004D2207"/>
    <w:rsid w:val="004D27B0"/>
    <w:rsid w:val="004D27F4"/>
    <w:rsid w:val="004D295A"/>
    <w:rsid w:val="004D2F2A"/>
    <w:rsid w:val="004D3F52"/>
    <w:rsid w:val="004D4115"/>
    <w:rsid w:val="004D4416"/>
    <w:rsid w:val="004D459E"/>
    <w:rsid w:val="004D4829"/>
    <w:rsid w:val="004D59AD"/>
    <w:rsid w:val="004D5A14"/>
    <w:rsid w:val="004D5A58"/>
    <w:rsid w:val="004D5B32"/>
    <w:rsid w:val="004D5CAD"/>
    <w:rsid w:val="004D5CEC"/>
    <w:rsid w:val="004D60E7"/>
    <w:rsid w:val="004D64E6"/>
    <w:rsid w:val="004D6AD6"/>
    <w:rsid w:val="004D6BA1"/>
    <w:rsid w:val="004D6BDA"/>
    <w:rsid w:val="004D6D7F"/>
    <w:rsid w:val="004D7190"/>
    <w:rsid w:val="004D74D7"/>
    <w:rsid w:val="004D7AA9"/>
    <w:rsid w:val="004E06AF"/>
    <w:rsid w:val="004E07A9"/>
    <w:rsid w:val="004E096B"/>
    <w:rsid w:val="004E0CC4"/>
    <w:rsid w:val="004E179B"/>
    <w:rsid w:val="004E1902"/>
    <w:rsid w:val="004E1EB4"/>
    <w:rsid w:val="004E20FF"/>
    <w:rsid w:val="004E24E4"/>
    <w:rsid w:val="004E2611"/>
    <w:rsid w:val="004E2B7A"/>
    <w:rsid w:val="004E2C25"/>
    <w:rsid w:val="004E2F65"/>
    <w:rsid w:val="004E3125"/>
    <w:rsid w:val="004E3337"/>
    <w:rsid w:val="004E35F2"/>
    <w:rsid w:val="004E4983"/>
    <w:rsid w:val="004E5205"/>
    <w:rsid w:val="004E591B"/>
    <w:rsid w:val="004E5F27"/>
    <w:rsid w:val="004E6323"/>
    <w:rsid w:val="004E63F1"/>
    <w:rsid w:val="004E72F7"/>
    <w:rsid w:val="004E7F4B"/>
    <w:rsid w:val="004F0357"/>
    <w:rsid w:val="004F06B0"/>
    <w:rsid w:val="004F0D0C"/>
    <w:rsid w:val="004F0FE0"/>
    <w:rsid w:val="004F121D"/>
    <w:rsid w:val="004F2706"/>
    <w:rsid w:val="004F281B"/>
    <w:rsid w:val="004F2990"/>
    <w:rsid w:val="004F2FCE"/>
    <w:rsid w:val="004F31F5"/>
    <w:rsid w:val="004F336E"/>
    <w:rsid w:val="004F3903"/>
    <w:rsid w:val="004F48F9"/>
    <w:rsid w:val="004F4F32"/>
    <w:rsid w:val="004F514D"/>
    <w:rsid w:val="004F5B6F"/>
    <w:rsid w:val="004F5EA3"/>
    <w:rsid w:val="004F5EB9"/>
    <w:rsid w:val="004F65A2"/>
    <w:rsid w:val="004F7C9C"/>
    <w:rsid w:val="005005B1"/>
    <w:rsid w:val="00500730"/>
    <w:rsid w:val="00500810"/>
    <w:rsid w:val="00500DAE"/>
    <w:rsid w:val="005011C2"/>
    <w:rsid w:val="00501ACA"/>
    <w:rsid w:val="00501B7D"/>
    <w:rsid w:val="00501D87"/>
    <w:rsid w:val="0050201F"/>
    <w:rsid w:val="00502171"/>
    <w:rsid w:val="00502215"/>
    <w:rsid w:val="00502473"/>
    <w:rsid w:val="00502580"/>
    <w:rsid w:val="00502A9C"/>
    <w:rsid w:val="00502E7A"/>
    <w:rsid w:val="00503042"/>
    <w:rsid w:val="005033F2"/>
    <w:rsid w:val="00504073"/>
    <w:rsid w:val="005040F4"/>
    <w:rsid w:val="005049CB"/>
    <w:rsid w:val="00505214"/>
    <w:rsid w:val="00505482"/>
    <w:rsid w:val="00505893"/>
    <w:rsid w:val="00505936"/>
    <w:rsid w:val="005059BD"/>
    <w:rsid w:val="00505B33"/>
    <w:rsid w:val="0050601F"/>
    <w:rsid w:val="0050649C"/>
    <w:rsid w:val="005065AC"/>
    <w:rsid w:val="0050693E"/>
    <w:rsid w:val="00506C48"/>
    <w:rsid w:val="00507B12"/>
    <w:rsid w:val="00507C20"/>
    <w:rsid w:val="005106CF"/>
    <w:rsid w:val="00510ECC"/>
    <w:rsid w:val="00511402"/>
    <w:rsid w:val="00511FD2"/>
    <w:rsid w:val="00512447"/>
    <w:rsid w:val="005125D6"/>
    <w:rsid w:val="00512855"/>
    <w:rsid w:val="00512B71"/>
    <w:rsid w:val="00512BE5"/>
    <w:rsid w:val="00512D65"/>
    <w:rsid w:val="00512FDF"/>
    <w:rsid w:val="00512FEE"/>
    <w:rsid w:val="005130CF"/>
    <w:rsid w:val="00513746"/>
    <w:rsid w:val="00513D27"/>
    <w:rsid w:val="005146D8"/>
    <w:rsid w:val="00516542"/>
    <w:rsid w:val="00516803"/>
    <w:rsid w:val="00516BDE"/>
    <w:rsid w:val="005171CF"/>
    <w:rsid w:val="005171DE"/>
    <w:rsid w:val="00520093"/>
    <w:rsid w:val="0052072F"/>
    <w:rsid w:val="0052078E"/>
    <w:rsid w:val="00520BD5"/>
    <w:rsid w:val="00520ED3"/>
    <w:rsid w:val="0052123B"/>
    <w:rsid w:val="0052124F"/>
    <w:rsid w:val="005219CB"/>
    <w:rsid w:val="00521BD4"/>
    <w:rsid w:val="00522088"/>
    <w:rsid w:val="005220F1"/>
    <w:rsid w:val="005222F7"/>
    <w:rsid w:val="00522A92"/>
    <w:rsid w:val="00522DE3"/>
    <w:rsid w:val="00522E2B"/>
    <w:rsid w:val="005238CA"/>
    <w:rsid w:val="00524DED"/>
    <w:rsid w:val="00525370"/>
    <w:rsid w:val="005262EB"/>
    <w:rsid w:val="00527117"/>
    <w:rsid w:val="00527200"/>
    <w:rsid w:val="0052768D"/>
    <w:rsid w:val="00530203"/>
    <w:rsid w:val="00530671"/>
    <w:rsid w:val="005308B4"/>
    <w:rsid w:val="00530B5A"/>
    <w:rsid w:val="00530FAC"/>
    <w:rsid w:val="00531628"/>
    <w:rsid w:val="00531A2F"/>
    <w:rsid w:val="005323DD"/>
    <w:rsid w:val="00532866"/>
    <w:rsid w:val="0053326E"/>
    <w:rsid w:val="0053354E"/>
    <w:rsid w:val="00533C72"/>
    <w:rsid w:val="0053430F"/>
    <w:rsid w:val="005343B1"/>
    <w:rsid w:val="0053493A"/>
    <w:rsid w:val="00534AA5"/>
    <w:rsid w:val="00534E4C"/>
    <w:rsid w:val="00535576"/>
    <w:rsid w:val="005355E1"/>
    <w:rsid w:val="00535C4F"/>
    <w:rsid w:val="0053617C"/>
    <w:rsid w:val="0053637F"/>
    <w:rsid w:val="00536514"/>
    <w:rsid w:val="00536622"/>
    <w:rsid w:val="0053663E"/>
    <w:rsid w:val="00536F44"/>
    <w:rsid w:val="0053749C"/>
    <w:rsid w:val="005401EA"/>
    <w:rsid w:val="00540479"/>
    <w:rsid w:val="0054143A"/>
    <w:rsid w:val="00541B68"/>
    <w:rsid w:val="005422C1"/>
    <w:rsid w:val="00542389"/>
    <w:rsid w:val="00542515"/>
    <w:rsid w:val="00542DCB"/>
    <w:rsid w:val="005432E9"/>
    <w:rsid w:val="005434F7"/>
    <w:rsid w:val="00543EDF"/>
    <w:rsid w:val="00543FAD"/>
    <w:rsid w:val="0054493E"/>
    <w:rsid w:val="00544F51"/>
    <w:rsid w:val="00545235"/>
    <w:rsid w:val="0054544E"/>
    <w:rsid w:val="00545644"/>
    <w:rsid w:val="00545656"/>
    <w:rsid w:val="00546603"/>
    <w:rsid w:val="00546696"/>
    <w:rsid w:val="00546A08"/>
    <w:rsid w:val="00546F37"/>
    <w:rsid w:val="00547178"/>
    <w:rsid w:val="00547BCB"/>
    <w:rsid w:val="00547E17"/>
    <w:rsid w:val="0055044C"/>
    <w:rsid w:val="00550766"/>
    <w:rsid w:val="005509F3"/>
    <w:rsid w:val="005513B5"/>
    <w:rsid w:val="00551582"/>
    <w:rsid w:val="005526AE"/>
    <w:rsid w:val="005539A2"/>
    <w:rsid w:val="00553E52"/>
    <w:rsid w:val="00554166"/>
    <w:rsid w:val="00554232"/>
    <w:rsid w:val="005543CB"/>
    <w:rsid w:val="00554684"/>
    <w:rsid w:val="00554E9E"/>
    <w:rsid w:val="00554F52"/>
    <w:rsid w:val="0055516D"/>
    <w:rsid w:val="00555AFA"/>
    <w:rsid w:val="00556951"/>
    <w:rsid w:val="00556A7F"/>
    <w:rsid w:val="00556A9C"/>
    <w:rsid w:val="00557935"/>
    <w:rsid w:val="00560234"/>
    <w:rsid w:val="005604CA"/>
    <w:rsid w:val="00560F64"/>
    <w:rsid w:val="005614CF"/>
    <w:rsid w:val="0056190C"/>
    <w:rsid w:val="00561C35"/>
    <w:rsid w:val="00561CC5"/>
    <w:rsid w:val="00562A8C"/>
    <w:rsid w:val="00563314"/>
    <w:rsid w:val="00563443"/>
    <w:rsid w:val="00563769"/>
    <w:rsid w:val="00563C96"/>
    <w:rsid w:val="00563D5A"/>
    <w:rsid w:val="0056417C"/>
    <w:rsid w:val="005648E9"/>
    <w:rsid w:val="0056522A"/>
    <w:rsid w:val="005654CD"/>
    <w:rsid w:val="005658C5"/>
    <w:rsid w:val="00565D93"/>
    <w:rsid w:val="005665D3"/>
    <w:rsid w:val="00566FDF"/>
    <w:rsid w:val="00567529"/>
    <w:rsid w:val="00567AAB"/>
    <w:rsid w:val="00567C8F"/>
    <w:rsid w:val="005700DC"/>
    <w:rsid w:val="00570568"/>
    <w:rsid w:val="005709A8"/>
    <w:rsid w:val="00570AF9"/>
    <w:rsid w:val="00570D23"/>
    <w:rsid w:val="00570D4E"/>
    <w:rsid w:val="00571AC0"/>
    <w:rsid w:val="00571E42"/>
    <w:rsid w:val="0057299B"/>
    <w:rsid w:val="00572B31"/>
    <w:rsid w:val="00572F5D"/>
    <w:rsid w:val="0057314F"/>
    <w:rsid w:val="00573266"/>
    <w:rsid w:val="00573485"/>
    <w:rsid w:val="00573AEE"/>
    <w:rsid w:val="00573B71"/>
    <w:rsid w:val="00573F13"/>
    <w:rsid w:val="00573F91"/>
    <w:rsid w:val="005740B2"/>
    <w:rsid w:val="00574402"/>
    <w:rsid w:val="00574592"/>
    <w:rsid w:val="0057474C"/>
    <w:rsid w:val="00574895"/>
    <w:rsid w:val="00575330"/>
    <w:rsid w:val="0057559A"/>
    <w:rsid w:val="00575AD5"/>
    <w:rsid w:val="005760FC"/>
    <w:rsid w:val="00576163"/>
    <w:rsid w:val="00576B09"/>
    <w:rsid w:val="0057702A"/>
    <w:rsid w:val="00577593"/>
    <w:rsid w:val="00577646"/>
    <w:rsid w:val="0057798B"/>
    <w:rsid w:val="00577EAF"/>
    <w:rsid w:val="00577F7E"/>
    <w:rsid w:val="0058046F"/>
    <w:rsid w:val="00581517"/>
    <w:rsid w:val="005815B7"/>
    <w:rsid w:val="00581690"/>
    <w:rsid w:val="00581D7D"/>
    <w:rsid w:val="0058238C"/>
    <w:rsid w:val="005823BC"/>
    <w:rsid w:val="005827BC"/>
    <w:rsid w:val="00582D53"/>
    <w:rsid w:val="00582DE0"/>
    <w:rsid w:val="0058365B"/>
    <w:rsid w:val="005838EC"/>
    <w:rsid w:val="00583EC0"/>
    <w:rsid w:val="005847E3"/>
    <w:rsid w:val="00584EB2"/>
    <w:rsid w:val="00585256"/>
    <w:rsid w:val="005852C9"/>
    <w:rsid w:val="00585A1D"/>
    <w:rsid w:val="00585F76"/>
    <w:rsid w:val="005868EB"/>
    <w:rsid w:val="00586D01"/>
    <w:rsid w:val="00587529"/>
    <w:rsid w:val="00587756"/>
    <w:rsid w:val="005879D2"/>
    <w:rsid w:val="005906ED"/>
    <w:rsid w:val="00590B1D"/>
    <w:rsid w:val="00590E23"/>
    <w:rsid w:val="00591F70"/>
    <w:rsid w:val="005923DA"/>
    <w:rsid w:val="005926B7"/>
    <w:rsid w:val="005926C0"/>
    <w:rsid w:val="00592EC6"/>
    <w:rsid w:val="0059320B"/>
    <w:rsid w:val="00594AA7"/>
    <w:rsid w:val="00594BF8"/>
    <w:rsid w:val="005951A3"/>
    <w:rsid w:val="00595271"/>
    <w:rsid w:val="00595E86"/>
    <w:rsid w:val="005978B6"/>
    <w:rsid w:val="005979D3"/>
    <w:rsid w:val="00597B7D"/>
    <w:rsid w:val="00597CD6"/>
    <w:rsid w:val="00597F7D"/>
    <w:rsid w:val="00597FF0"/>
    <w:rsid w:val="005A067E"/>
    <w:rsid w:val="005A0766"/>
    <w:rsid w:val="005A1186"/>
    <w:rsid w:val="005A1347"/>
    <w:rsid w:val="005A1704"/>
    <w:rsid w:val="005A18B3"/>
    <w:rsid w:val="005A1E4F"/>
    <w:rsid w:val="005A2382"/>
    <w:rsid w:val="005A2745"/>
    <w:rsid w:val="005A310A"/>
    <w:rsid w:val="005A338F"/>
    <w:rsid w:val="005A346E"/>
    <w:rsid w:val="005A3601"/>
    <w:rsid w:val="005A38A6"/>
    <w:rsid w:val="005A3918"/>
    <w:rsid w:val="005A418B"/>
    <w:rsid w:val="005A4388"/>
    <w:rsid w:val="005A46F2"/>
    <w:rsid w:val="005A50A3"/>
    <w:rsid w:val="005A5281"/>
    <w:rsid w:val="005A5468"/>
    <w:rsid w:val="005A55FA"/>
    <w:rsid w:val="005A56AF"/>
    <w:rsid w:val="005A605F"/>
    <w:rsid w:val="005A6295"/>
    <w:rsid w:val="005A6384"/>
    <w:rsid w:val="005A6622"/>
    <w:rsid w:val="005A6DDC"/>
    <w:rsid w:val="005A7406"/>
    <w:rsid w:val="005A7DF0"/>
    <w:rsid w:val="005A842F"/>
    <w:rsid w:val="005B0129"/>
    <w:rsid w:val="005B0211"/>
    <w:rsid w:val="005B0D71"/>
    <w:rsid w:val="005B0E6A"/>
    <w:rsid w:val="005B10C3"/>
    <w:rsid w:val="005B12E9"/>
    <w:rsid w:val="005B13B3"/>
    <w:rsid w:val="005B1EBC"/>
    <w:rsid w:val="005B1F18"/>
    <w:rsid w:val="005B2005"/>
    <w:rsid w:val="005B23D1"/>
    <w:rsid w:val="005B282D"/>
    <w:rsid w:val="005B28B8"/>
    <w:rsid w:val="005B2CF0"/>
    <w:rsid w:val="005B3E28"/>
    <w:rsid w:val="005B3FEE"/>
    <w:rsid w:val="005B419E"/>
    <w:rsid w:val="005B4B3B"/>
    <w:rsid w:val="005B4E9E"/>
    <w:rsid w:val="005B51FE"/>
    <w:rsid w:val="005B5C71"/>
    <w:rsid w:val="005B5DE3"/>
    <w:rsid w:val="005B6103"/>
    <w:rsid w:val="005B61A5"/>
    <w:rsid w:val="005B627A"/>
    <w:rsid w:val="005B6310"/>
    <w:rsid w:val="005B7521"/>
    <w:rsid w:val="005C028D"/>
    <w:rsid w:val="005C066E"/>
    <w:rsid w:val="005C0743"/>
    <w:rsid w:val="005C0AF6"/>
    <w:rsid w:val="005C0F74"/>
    <w:rsid w:val="005C1B73"/>
    <w:rsid w:val="005C1D6F"/>
    <w:rsid w:val="005C1DAF"/>
    <w:rsid w:val="005C1E1E"/>
    <w:rsid w:val="005C1E48"/>
    <w:rsid w:val="005C22EB"/>
    <w:rsid w:val="005C2861"/>
    <w:rsid w:val="005C2937"/>
    <w:rsid w:val="005C394D"/>
    <w:rsid w:val="005C4598"/>
    <w:rsid w:val="005C4841"/>
    <w:rsid w:val="005C4BF1"/>
    <w:rsid w:val="005C530F"/>
    <w:rsid w:val="005C589E"/>
    <w:rsid w:val="005C5E2E"/>
    <w:rsid w:val="005C64E0"/>
    <w:rsid w:val="005C6F17"/>
    <w:rsid w:val="005C7097"/>
    <w:rsid w:val="005C7428"/>
    <w:rsid w:val="005C7905"/>
    <w:rsid w:val="005D02BC"/>
    <w:rsid w:val="005D1E22"/>
    <w:rsid w:val="005D1F57"/>
    <w:rsid w:val="005D1FAB"/>
    <w:rsid w:val="005D208F"/>
    <w:rsid w:val="005D219E"/>
    <w:rsid w:val="005D2B52"/>
    <w:rsid w:val="005D2E57"/>
    <w:rsid w:val="005D2ECE"/>
    <w:rsid w:val="005D319C"/>
    <w:rsid w:val="005D37BC"/>
    <w:rsid w:val="005D3D25"/>
    <w:rsid w:val="005D3DF5"/>
    <w:rsid w:val="005D43E8"/>
    <w:rsid w:val="005D47AC"/>
    <w:rsid w:val="005D5534"/>
    <w:rsid w:val="005D5DC0"/>
    <w:rsid w:val="005D66A6"/>
    <w:rsid w:val="005D6800"/>
    <w:rsid w:val="005D6D37"/>
    <w:rsid w:val="005D6FFC"/>
    <w:rsid w:val="005D74A2"/>
    <w:rsid w:val="005D7FE3"/>
    <w:rsid w:val="005E02C6"/>
    <w:rsid w:val="005E17C3"/>
    <w:rsid w:val="005E1A31"/>
    <w:rsid w:val="005E1C95"/>
    <w:rsid w:val="005E2CA6"/>
    <w:rsid w:val="005E3159"/>
    <w:rsid w:val="005E3CA4"/>
    <w:rsid w:val="005E4399"/>
    <w:rsid w:val="005E46D5"/>
    <w:rsid w:val="005E58BE"/>
    <w:rsid w:val="005E5C2E"/>
    <w:rsid w:val="005E5C50"/>
    <w:rsid w:val="005E6BC1"/>
    <w:rsid w:val="005E6DF0"/>
    <w:rsid w:val="005E6F97"/>
    <w:rsid w:val="005F02F3"/>
    <w:rsid w:val="005F08EE"/>
    <w:rsid w:val="005F0ABA"/>
    <w:rsid w:val="005F169A"/>
    <w:rsid w:val="005F18F7"/>
    <w:rsid w:val="005F1982"/>
    <w:rsid w:val="005F1B5E"/>
    <w:rsid w:val="005F1F5B"/>
    <w:rsid w:val="005F2027"/>
    <w:rsid w:val="005F2670"/>
    <w:rsid w:val="005F3407"/>
    <w:rsid w:val="005F389A"/>
    <w:rsid w:val="005F4512"/>
    <w:rsid w:val="005F452B"/>
    <w:rsid w:val="005F4BCD"/>
    <w:rsid w:val="005F4C2E"/>
    <w:rsid w:val="005F4D87"/>
    <w:rsid w:val="005F5178"/>
    <w:rsid w:val="005F536E"/>
    <w:rsid w:val="005F583D"/>
    <w:rsid w:val="005F610C"/>
    <w:rsid w:val="005F6C24"/>
    <w:rsid w:val="005F7764"/>
    <w:rsid w:val="005F7F4A"/>
    <w:rsid w:val="0060037C"/>
    <w:rsid w:val="00600420"/>
    <w:rsid w:val="00600551"/>
    <w:rsid w:val="00600D28"/>
    <w:rsid w:val="00600E61"/>
    <w:rsid w:val="00601174"/>
    <w:rsid w:val="00601507"/>
    <w:rsid w:val="00601B25"/>
    <w:rsid w:val="00601C1B"/>
    <w:rsid w:val="00601E01"/>
    <w:rsid w:val="00601E60"/>
    <w:rsid w:val="00603C4C"/>
    <w:rsid w:val="00603CE1"/>
    <w:rsid w:val="00604060"/>
    <w:rsid w:val="00604249"/>
    <w:rsid w:val="006045EB"/>
    <w:rsid w:val="00604716"/>
    <w:rsid w:val="00604D6F"/>
    <w:rsid w:val="00604E35"/>
    <w:rsid w:val="00604EB2"/>
    <w:rsid w:val="0060508A"/>
    <w:rsid w:val="006051B7"/>
    <w:rsid w:val="00605717"/>
    <w:rsid w:val="006057F5"/>
    <w:rsid w:val="006057F9"/>
    <w:rsid w:val="00606A97"/>
    <w:rsid w:val="00607421"/>
    <w:rsid w:val="00607671"/>
    <w:rsid w:val="00607BCD"/>
    <w:rsid w:val="006103E2"/>
    <w:rsid w:val="00610B47"/>
    <w:rsid w:val="00610DCE"/>
    <w:rsid w:val="0061136D"/>
    <w:rsid w:val="0061142A"/>
    <w:rsid w:val="00611F81"/>
    <w:rsid w:val="00612021"/>
    <w:rsid w:val="00612931"/>
    <w:rsid w:val="00613613"/>
    <w:rsid w:val="006139A9"/>
    <w:rsid w:val="00613A8E"/>
    <w:rsid w:val="00613AB4"/>
    <w:rsid w:val="00613E8F"/>
    <w:rsid w:val="00614ACC"/>
    <w:rsid w:val="00615648"/>
    <w:rsid w:val="006161E3"/>
    <w:rsid w:val="006166F1"/>
    <w:rsid w:val="00616950"/>
    <w:rsid w:val="00616C11"/>
    <w:rsid w:val="0061763F"/>
    <w:rsid w:val="00617C09"/>
    <w:rsid w:val="0062053B"/>
    <w:rsid w:val="006215B4"/>
    <w:rsid w:val="006217DC"/>
    <w:rsid w:val="0062185F"/>
    <w:rsid w:val="00621C84"/>
    <w:rsid w:val="006220B6"/>
    <w:rsid w:val="006228B6"/>
    <w:rsid w:val="00622D07"/>
    <w:rsid w:val="00622E65"/>
    <w:rsid w:val="00623797"/>
    <w:rsid w:val="00623FC1"/>
    <w:rsid w:val="0062423E"/>
    <w:rsid w:val="00624323"/>
    <w:rsid w:val="006245DF"/>
    <w:rsid w:val="00624D14"/>
    <w:rsid w:val="006251CA"/>
    <w:rsid w:val="0062547D"/>
    <w:rsid w:val="00626256"/>
    <w:rsid w:val="006263A2"/>
    <w:rsid w:val="006263F6"/>
    <w:rsid w:val="006273DB"/>
    <w:rsid w:val="00627B38"/>
    <w:rsid w:val="00627D9B"/>
    <w:rsid w:val="00630269"/>
    <w:rsid w:val="00630282"/>
    <w:rsid w:val="006302AA"/>
    <w:rsid w:val="00630D0D"/>
    <w:rsid w:val="00631BE2"/>
    <w:rsid w:val="00633217"/>
    <w:rsid w:val="00633630"/>
    <w:rsid w:val="00633CF7"/>
    <w:rsid w:val="00633E5C"/>
    <w:rsid w:val="00633E97"/>
    <w:rsid w:val="00634A07"/>
    <w:rsid w:val="00634C35"/>
    <w:rsid w:val="0063568C"/>
    <w:rsid w:val="00635918"/>
    <w:rsid w:val="00635D44"/>
    <w:rsid w:val="00636204"/>
    <w:rsid w:val="00636461"/>
    <w:rsid w:val="00636F72"/>
    <w:rsid w:val="006404E7"/>
    <w:rsid w:val="00640A5B"/>
    <w:rsid w:val="00641724"/>
    <w:rsid w:val="00641728"/>
    <w:rsid w:val="006421B9"/>
    <w:rsid w:val="00642CA0"/>
    <w:rsid w:val="006430CC"/>
    <w:rsid w:val="00643293"/>
    <w:rsid w:val="006433C5"/>
    <w:rsid w:val="006439DA"/>
    <w:rsid w:val="00643A48"/>
    <w:rsid w:val="0064457B"/>
    <w:rsid w:val="0064494B"/>
    <w:rsid w:val="00644F87"/>
    <w:rsid w:val="006451B8"/>
    <w:rsid w:val="00645A17"/>
    <w:rsid w:val="00645D47"/>
    <w:rsid w:val="00646014"/>
    <w:rsid w:val="00646803"/>
    <w:rsid w:val="00647273"/>
    <w:rsid w:val="00647510"/>
    <w:rsid w:val="00647E47"/>
    <w:rsid w:val="006501DD"/>
    <w:rsid w:val="00650F76"/>
    <w:rsid w:val="00650FAF"/>
    <w:rsid w:val="0065148A"/>
    <w:rsid w:val="00651536"/>
    <w:rsid w:val="0065177A"/>
    <w:rsid w:val="00651C05"/>
    <w:rsid w:val="00651ED9"/>
    <w:rsid w:val="00651F83"/>
    <w:rsid w:val="006520E6"/>
    <w:rsid w:val="00652108"/>
    <w:rsid w:val="0065258F"/>
    <w:rsid w:val="00652C0E"/>
    <w:rsid w:val="00653535"/>
    <w:rsid w:val="00653878"/>
    <w:rsid w:val="00653B17"/>
    <w:rsid w:val="00653BE0"/>
    <w:rsid w:val="00653E48"/>
    <w:rsid w:val="006541E3"/>
    <w:rsid w:val="00655DE1"/>
    <w:rsid w:val="00655EC3"/>
    <w:rsid w:val="006562A7"/>
    <w:rsid w:val="006567D8"/>
    <w:rsid w:val="00656878"/>
    <w:rsid w:val="00656FBD"/>
    <w:rsid w:val="00656FE0"/>
    <w:rsid w:val="00657030"/>
    <w:rsid w:val="00657524"/>
    <w:rsid w:val="0065798B"/>
    <w:rsid w:val="006600A0"/>
    <w:rsid w:val="00660480"/>
    <w:rsid w:val="006606D8"/>
    <w:rsid w:val="00660C2F"/>
    <w:rsid w:val="00661CAE"/>
    <w:rsid w:val="00662638"/>
    <w:rsid w:val="0066313F"/>
    <w:rsid w:val="00663161"/>
    <w:rsid w:val="00663194"/>
    <w:rsid w:val="00664D32"/>
    <w:rsid w:val="0066503B"/>
    <w:rsid w:val="00665380"/>
    <w:rsid w:val="0066559F"/>
    <w:rsid w:val="006657F5"/>
    <w:rsid w:val="00665DB2"/>
    <w:rsid w:val="0066601D"/>
    <w:rsid w:val="006661B0"/>
    <w:rsid w:val="0066684A"/>
    <w:rsid w:val="00667096"/>
    <w:rsid w:val="00667514"/>
    <w:rsid w:val="00667CB5"/>
    <w:rsid w:val="00667F53"/>
    <w:rsid w:val="00670410"/>
    <w:rsid w:val="00670884"/>
    <w:rsid w:val="006709F1"/>
    <w:rsid w:val="00670F5D"/>
    <w:rsid w:val="006712EB"/>
    <w:rsid w:val="0067140D"/>
    <w:rsid w:val="006714EE"/>
    <w:rsid w:val="006722FB"/>
    <w:rsid w:val="0067250F"/>
    <w:rsid w:val="0067263D"/>
    <w:rsid w:val="00672865"/>
    <w:rsid w:val="00672B40"/>
    <w:rsid w:val="00673B56"/>
    <w:rsid w:val="00674F9C"/>
    <w:rsid w:val="00674FD0"/>
    <w:rsid w:val="0067672C"/>
    <w:rsid w:val="00676A5B"/>
    <w:rsid w:val="006775F5"/>
    <w:rsid w:val="006777CD"/>
    <w:rsid w:val="006806D0"/>
    <w:rsid w:val="00680B39"/>
    <w:rsid w:val="00680F00"/>
    <w:rsid w:val="00680F2A"/>
    <w:rsid w:val="00681954"/>
    <w:rsid w:val="00681A4B"/>
    <w:rsid w:val="00682444"/>
    <w:rsid w:val="006826A5"/>
    <w:rsid w:val="006827C2"/>
    <w:rsid w:val="00682D18"/>
    <w:rsid w:val="0068329A"/>
    <w:rsid w:val="00683DC9"/>
    <w:rsid w:val="006848E1"/>
    <w:rsid w:val="006849F8"/>
    <w:rsid w:val="00685595"/>
    <w:rsid w:val="006856B9"/>
    <w:rsid w:val="00685A81"/>
    <w:rsid w:val="00685F71"/>
    <w:rsid w:val="00685FA5"/>
    <w:rsid w:val="006866F5"/>
    <w:rsid w:val="006868A0"/>
    <w:rsid w:val="00686F20"/>
    <w:rsid w:val="00686F3E"/>
    <w:rsid w:val="006870CD"/>
    <w:rsid w:val="00687530"/>
    <w:rsid w:val="00687558"/>
    <w:rsid w:val="006876CE"/>
    <w:rsid w:val="00687E87"/>
    <w:rsid w:val="0069020C"/>
    <w:rsid w:val="006903B4"/>
    <w:rsid w:val="00690A48"/>
    <w:rsid w:val="00690FD9"/>
    <w:rsid w:val="006910B3"/>
    <w:rsid w:val="0069116A"/>
    <w:rsid w:val="00692276"/>
    <w:rsid w:val="00692C28"/>
    <w:rsid w:val="00692C8A"/>
    <w:rsid w:val="00692FC4"/>
    <w:rsid w:val="0069470E"/>
    <w:rsid w:val="00695846"/>
    <w:rsid w:val="006959FD"/>
    <w:rsid w:val="00695CA7"/>
    <w:rsid w:val="00695DBF"/>
    <w:rsid w:val="006961A5"/>
    <w:rsid w:val="00696254"/>
    <w:rsid w:val="00696DDF"/>
    <w:rsid w:val="00697050"/>
    <w:rsid w:val="00697179"/>
    <w:rsid w:val="006974B9"/>
    <w:rsid w:val="006A015C"/>
    <w:rsid w:val="006A0470"/>
    <w:rsid w:val="006A08B2"/>
    <w:rsid w:val="006A0AA4"/>
    <w:rsid w:val="006A0B3D"/>
    <w:rsid w:val="006A100E"/>
    <w:rsid w:val="006A1A56"/>
    <w:rsid w:val="006A1ABF"/>
    <w:rsid w:val="006A1F63"/>
    <w:rsid w:val="006A2569"/>
    <w:rsid w:val="006A2BF9"/>
    <w:rsid w:val="006A3186"/>
    <w:rsid w:val="006A3392"/>
    <w:rsid w:val="006A35A8"/>
    <w:rsid w:val="006A470D"/>
    <w:rsid w:val="006A478D"/>
    <w:rsid w:val="006A47F4"/>
    <w:rsid w:val="006A4809"/>
    <w:rsid w:val="006A48AC"/>
    <w:rsid w:val="006A4CCA"/>
    <w:rsid w:val="006A5C9E"/>
    <w:rsid w:val="006A5F03"/>
    <w:rsid w:val="006A6321"/>
    <w:rsid w:val="006A69C4"/>
    <w:rsid w:val="006A69D0"/>
    <w:rsid w:val="006A6A48"/>
    <w:rsid w:val="006A6C72"/>
    <w:rsid w:val="006A7077"/>
    <w:rsid w:val="006A7E8A"/>
    <w:rsid w:val="006A7F36"/>
    <w:rsid w:val="006B1134"/>
    <w:rsid w:val="006B11E9"/>
    <w:rsid w:val="006B1346"/>
    <w:rsid w:val="006B1630"/>
    <w:rsid w:val="006B19FB"/>
    <w:rsid w:val="006B2156"/>
    <w:rsid w:val="006B222A"/>
    <w:rsid w:val="006B2593"/>
    <w:rsid w:val="006B3457"/>
    <w:rsid w:val="006B3F40"/>
    <w:rsid w:val="006B4059"/>
    <w:rsid w:val="006B4D0F"/>
    <w:rsid w:val="006B5505"/>
    <w:rsid w:val="006B5741"/>
    <w:rsid w:val="006B5899"/>
    <w:rsid w:val="006B58D0"/>
    <w:rsid w:val="006B62BB"/>
    <w:rsid w:val="006B66D1"/>
    <w:rsid w:val="006B6799"/>
    <w:rsid w:val="006B6B79"/>
    <w:rsid w:val="006C0120"/>
    <w:rsid w:val="006C0996"/>
    <w:rsid w:val="006C0EE5"/>
    <w:rsid w:val="006C131A"/>
    <w:rsid w:val="006C1CFE"/>
    <w:rsid w:val="006C1E65"/>
    <w:rsid w:val="006C1FE5"/>
    <w:rsid w:val="006C2DA8"/>
    <w:rsid w:val="006C367D"/>
    <w:rsid w:val="006C3D21"/>
    <w:rsid w:val="006C484A"/>
    <w:rsid w:val="006C4D10"/>
    <w:rsid w:val="006C4F54"/>
    <w:rsid w:val="006C521F"/>
    <w:rsid w:val="006C52D8"/>
    <w:rsid w:val="006C56EE"/>
    <w:rsid w:val="006C5D92"/>
    <w:rsid w:val="006C62A7"/>
    <w:rsid w:val="006C6373"/>
    <w:rsid w:val="006C678A"/>
    <w:rsid w:val="006C6938"/>
    <w:rsid w:val="006C6EBF"/>
    <w:rsid w:val="006C6EC4"/>
    <w:rsid w:val="006C6FB5"/>
    <w:rsid w:val="006C7672"/>
    <w:rsid w:val="006C7813"/>
    <w:rsid w:val="006C7D17"/>
    <w:rsid w:val="006D0655"/>
    <w:rsid w:val="006D0E73"/>
    <w:rsid w:val="006D1021"/>
    <w:rsid w:val="006D13FD"/>
    <w:rsid w:val="006D176E"/>
    <w:rsid w:val="006D1904"/>
    <w:rsid w:val="006D1C6C"/>
    <w:rsid w:val="006D2123"/>
    <w:rsid w:val="006D32E5"/>
    <w:rsid w:val="006D3A98"/>
    <w:rsid w:val="006D4184"/>
    <w:rsid w:val="006D4227"/>
    <w:rsid w:val="006D435C"/>
    <w:rsid w:val="006D4497"/>
    <w:rsid w:val="006D4723"/>
    <w:rsid w:val="006D5374"/>
    <w:rsid w:val="006D596C"/>
    <w:rsid w:val="006D5FC4"/>
    <w:rsid w:val="006D634A"/>
    <w:rsid w:val="006D6384"/>
    <w:rsid w:val="006D6516"/>
    <w:rsid w:val="006D6610"/>
    <w:rsid w:val="006D6696"/>
    <w:rsid w:val="006D673B"/>
    <w:rsid w:val="006D673C"/>
    <w:rsid w:val="006D69FD"/>
    <w:rsid w:val="006D6A36"/>
    <w:rsid w:val="006D6D77"/>
    <w:rsid w:val="006D73B6"/>
    <w:rsid w:val="006E004E"/>
    <w:rsid w:val="006E00B7"/>
    <w:rsid w:val="006E011E"/>
    <w:rsid w:val="006E03CF"/>
    <w:rsid w:val="006E05D4"/>
    <w:rsid w:val="006E11F4"/>
    <w:rsid w:val="006E1680"/>
    <w:rsid w:val="006E1E9E"/>
    <w:rsid w:val="006E2042"/>
    <w:rsid w:val="006E25B5"/>
    <w:rsid w:val="006E2730"/>
    <w:rsid w:val="006E2DC5"/>
    <w:rsid w:val="006E301C"/>
    <w:rsid w:val="006E310F"/>
    <w:rsid w:val="006E3382"/>
    <w:rsid w:val="006E3945"/>
    <w:rsid w:val="006E3EB3"/>
    <w:rsid w:val="006E4B6F"/>
    <w:rsid w:val="006E4CB9"/>
    <w:rsid w:val="006E4D4F"/>
    <w:rsid w:val="006E5849"/>
    <w:rsid w:val="006E5DB4"/>
    <w:rsid w:val="006E5E59"/>
    <w:rsid w:val="006E6553"/>
    <w:rsid w:val="006E675A"/>
    <w:rsid w:val="006E75A0"/>
    <w:rsid w:val="006F06E2"/>
    <w:rsid w:val="006F078E"/>
    <w:rsid w:val="006F07C5"/>
    <w:rsid w:val="006F0BB5"/>
    <w:rsid w:val="006F1036"/>
    <w:rsid w:val="006F1595"/>
    <w:rsid w:val="006F15B0"/>
    <w:rsid w:val="006F227D"/>
    <w:rsid w:val="006F250B"/>
    <w:rsid w:val="006F2948"/>
    <w:rsid w:val="006F2A59"/>
    <w:rsid w:val="006F30F1"/>
    <w:rsid w:val="006F331A"/>
    <w:rsid w:val="006F362A"/>
    <w:rsid w:val="006F3660"/>
    <w:rsid w:val="006F3ED7"/>
    <w:rsid w:val="006F4017"/>
    <w:rsid w:val="006F422E"/>
    <w:rsid w:val="006F44DE"/>
    <w:rsid w:val="006F452F"/>
    <w:rsid w:val="006F4F38"/>
    <w:rsid w:val="006F5669"/>
    <w:rsid w:val="006F58FC"/>
    <w:rsid w:val="006F63EE"/>
    <w:rsid w:val="006F7C95"/>
    <w:rsid w:val="00701484"/>
    <w:rsid w:val="00701CB9"/>
    <w:rsid w:val="00701CE9"/>
    <w:rsid w:val="00701DC2"/>
    <w:rsid w:val="0070249D"/>
    <w:rsid w:val="00702532"/>
    <w:rsid w:val="00702B09"/>
    <w:rsid w:val="00702B46"/>
    <w:rsid w:val="00702B9E"/>
    <w:rsid w:val="00702CA1"/>
    <w:rsid w:val="0070332D"/>
    <w:rsid w:val="00703428"/>
    <w:rsid w:val="007038D8"/>
    <w:rsid w:val="00703CE2"/>
    <w:rsid w:val="00703CF1"/>
    <w:rsid w:val="00704271"/>
    <w:rsid w:val="0070439D"/>
    <w:rsid w:val="007046A5"/>
    <w:rsid w:val="00704C70"/>
    <w:rsid w:val="0070513E"/>
    <w:rsid w:val="007065B0"/>
    <w:rsid w:val="00706968"/>
    <w:rsid w:val="00706A4A"/>
    <w:rsid w:val="00706CEF"/>
    <w:rsid w:val="00706E79"/>
    <w:rsid w:val="00707F03"/>
    <w:rsid w:val="00710001"/>
    <w:rsid w:val="00710080"/>
    <w:rsid w:val="00710883"/>
    <w:rsid w:val="00711651"/>
    <w:rsid w:val="007119BE"/>
    <w:rsid w:val="007129C7"/>
    <w:rsid w:val="00713213"/>
    <w:rsid w:val="007137C2"/>
    <w:rsid w:val="007139A5"/>
    <w:rsid w:val="007148DF"/>
    <w:rsid w:val="00714925"/>
    <w:rsid w:val="00714F32"/>
    <w:rsid w:val="00715CB3"/>
    <w:rsid w:val="007164B6"/>
    <w:rsid w:val="00716674"/>
    <w:rsid w:val="0071699D"/>
    <w:rsid w:val="00716EFE"/>
    <w:rsid w:val="00717398"/>
    <w:rsid w:val="0071743A"/>
    <w:rsid w:val="007174F5"/>
    <w:rsid w:val="0071765D"/>
    <w:rsid w:val="007178FE"/>
    <w:rsid w:val="00717B21"/>
    <w:rsid w:val="007206EC"/>
    <w:rsid w:val="0072087F"/>
    <w:rsid w:val="00720989"/>
    <w:rsid w:val="0072137F"/>
    <w:rsid w:val="0072195F"/>
    <w:rsid w:val="0072239D"/>
    <w:rsid w:val="00722682"/>
    <w:rsid w:val="00722917"/>
    <w:rsid w:val="00722950"/>
    <w:rsid w:val="00722ACC"/>
    <w:rsid w:val="00722E51"/>
    <w:rsid w:val="00722E7A"/>
    <w:rsid w:val="00722EAF"/>
    <w:rsid w:val="007230F7"/>
    <w:rsid w:val="00724970"/>
    <w:rsid w:val="007257E0"/>
    <w:rsid w:val="00725A1F"/>
    <w:rsid w:val="007268A1"/>
    <w:rsid w:val="00726B43"/>
    <w:rsid w:val="007275EC"/>
    <w:rsid w:val="007279CF"/>
    <w:rsid w:val="00727AC9"/>
    <w:rsid w:val="007303E4"/>
    <w:rsid w:val="00730463"/>
    <w:rsid w:val="00730A9D"/>
    <w:rsid w:val="007312F1"/>
    <w:rsid w:val="00731BB0"/>
    <w:rsid w:val="00731F79"/>
    <w:rsid w:val="00732880"/>
    <w:rsid w:val="00732971"/>
    <w:rsid w:val="00733280"/>
    <w:rsid w:val="0073399F"/>
    <w:rsid w:val="00733B90"/>
    <w:rsid w:val="0073447E"/>
    <w:rsid w:val="007346B2"/>
    <w:rsid w:val="007347F7"/>
    <w:rsid w:val="00734A41"/>
    <w:rsid w:val="00734CCA"/>
    <w:rsid w:val="00735672"/>
    <w:rsid w:val="007359CA"/>
    <w:rsid w:val="00735FB2"/>
    <w:rsid w:val="00736261"/>
    <w:rsid w:val="0073648A"/>
    <w:rsid w:val="007367E6"/>
    <w:rsid w:val="0073708D"/>
    <w:rsid w:val="00740743"/>
    <w:rsid w:val="00740978"/>
    <w:rsid w:val="00741137"/>
    <w:rsid w:val="007415B6"/>
    <w:rsid w:val="007425F5"/>
    <w:rsid w:val="007431F2"/>
    <w:rsid w:val="007432F8"/>
    <w:rsid w:val="0074382E"/>
    <w:rsid w:val="00743DEC"/>
    <w:rsid w:val="0074477B"/>
    <w:rsid w:val="00744D1D"/>
    <w:rsid w:val="0074567A"/>
    <w:rsid w:val="00745873"/>
    <w:rsid w:val="00745F46"/>
    <w:rsid w:val="00746B4E"/>
    <w:rsid w:val="0074757A"/>
    <w:rsid w:val="007503AD"/>
    <w:rsid w:val="00750500"/>
    <w:rsid w:val="007508D0"/>
    <w:rsid w:val="00750C08"/>
    <w:rsid w:val="00750E38"/>
    <w:rsid w:val="00751019"/>
    <w:rsid w:val="00751470"/>
    <w:rsid w:val="007517C2"/>
    <w:rsid w:val="00751A64"/>
    <w:rsid w:val="007525DD"/>
    <w:rsid w:val="00752BD4"/>
    <w:rsid w:val="0075367D"/>
    <w:rsid w:val="00753A33"/>
    <w:rsid w:val="00753BAD"/>
    <w:rsid w:val="00753EE9"/>
    <w:rsid w:val="00754A1E"/>
    <w:rsid w:val="007550F3"/>
    <w:rsid w:val="00755149"/>
    <w:rsid w:val="0075577D"/>
    <w:rsid w:val="00755B79"/>
    <w:rsid w:val="00755C09"/>
    <w:rsid w:val="0075608C"/>
    <w:rsid w:val="00756336"/>
    <w:rsid w:val="00756587"/>
    <w:rsid w:val="007567A0"/>
    <w:rsid w:val="007574DA"/>
    <w:rsid w:val="00757810"/>
    <w:rsid w:val="00760515"/>
    <w:rsid w:val="0076060E"/>
    <w:rsid w:val="00760748"/>
    <w:rsid w:val="00760DBF"/>
    <w:rsid w:val="00762BD6"/>
    <w:rsid w:val="00762D40"/>
    <w:rsid w:val="0076300D"/>
    <w:rsid w:val="0076332A"/>
    <w:rsid w:val="007641AB"/>
    <w:rsid w:val="007647A1"/>
    <w:rsid w:val="007647B0"/>
    <w:rsid w:val="00764A62"/>
    <w:rsid w:val="007650ED"/>
    <w:rsid w:val="00765ADB"/>
    <w:rsid w:val="00765CE2"/>
    <w:rsid w:val="00765FED"/>
    <w:rsid w:val="007660E1"/>
    <w:rsid w:val="0076684B"/>
    <w:rsid w:val="00766F02"/>
    <w:rsid w:val="00766FAA"/>
    <w:rsid w:val="007671F1"/>
    <w:rsid w:val="007676BA"/>
    <w:rsid w:val="00767B79"/>
    <w:rsid w:val="00770A92"/>
    <w:rsid w:val="00770B89"/>
    <w:rsid w:val="00771036"/>
    <w:rsid w:val="00771418"/>
    <w:rsid w:val="00771D45"/>
    <w:rsid w:val="00773090"/>
    <w:rsid w:val="00773325"/>
    <w:rsid w:val="0077337C"/>
    <w:rsid w:val="00773DC4"/>
    <w:rsid w:val="00773FD7"/>
    <w:rsid w:val="00774191"/>
    <w:rsid w:val="0077455E"/>
    <w:rsid w:val="00774927"/>
    <w:rsid w:val="00775011"/>
    <w:rsid w:val="00775A59"/>
    <w:rsid w:val="00776A55"/>
    <w:rsid w:val="00776B97"/>
    <w:rsid w:val="007777D0"/>
    <w:rsid w:val="00777844"/>
    <w:rsid w:val="00777931"/>
    <w:rsid w:val="00777AA8"/>
    <w:rsid w:val="00777B14"/>
    <w:rsid w:val="007800C6"/>
    <w:rsid w:val="007801C3"/>
    <w:rsid w:val="00780FE5"/>
    <w:rsid w:val="007810DA"/>
    <w:rsid w:val="0078165A"/>
    <w:rsid w:val="007824B4"/>
    <w:rsid w:val="0078271C"/>
    <w:rsid w:val="00782DD2"/>
    <w:rsid w:val="00782E22"/>
    <w:rsid w:val="00782F60"/>
    <w:rsid w:val="00783071"/>
    <w:rsid w:val="00783247"/>
    <w:rsid w:val="0078389B"/>
    <w:rsid w:val="00783DCE"/>
    <w:rsid w:val="007843AD"/>
    <w:rsid w:val="007846C1"/>
    <w:rsid w:val="0078477B"/>
    <w:rsid w:val="00784E0B"/>
    <w:rsid w:val="00785A0C"/>
    <w:rsid w:val="007864D4"/>
    <w:rsid w:val="00786882"/>
    <w:rsid w:val="007872D7"/>
    <w:rsid w:val="007875A1"/>
    <w:rsid w:val="007877B9"/>
    <w:rsid w:val="00790428"/>
    <w:rsid w:val="0079064E"/>
    <w:rsid w:val="0079205A"/>
    <w:rsid w:val="00792742"/>
    <w:rsid w:val="00792BF3"/>
    <w:rsid w:val="00792F03"/>
    <w:rsid w:val="007931D6"/>
    <w:rsid w:val="00793FAA"/>
    <w:rsid w:val="00794B0C"/>
    <w:rsid w:val="00794EDD"/>
    <w:rsid w:val="007952BF"/>
    <w:rsid w:val="007967B3"/>
    <w:rsid w:val="00796863"/>
    <w:rsid w:val="00797852"/>
    <w:rsid w:val="007979D9"/>
    <w:rsid w:val="00797A33"/>
    <w:rsid w:val="00797D4A"/>
    <w:rsid w:val="00797EAA"/>
    <w:rsid w:val="007A05DE"/>
    <w:rsid w:val="007A0D8C"/>
    <w:rsid w:val="007A1525"/>
    <w:rsid w:val="007A1BED"/>
    <w:rsid w:val="007A1E50"/>
    <w:rsid w:val="007A2166"/>
    <w:rsid w:val="007A217A"/>
    <w:rsid w:val="007A284F"/>
    <w:rsid w:val="007A2B50"/>
    <w:rsid w:val="007A45AC"/>
    <w:rsid w:val="007A4615"/>
    <w:rsid w:val="007A5729"/>
    <w:rsid w:val="007A5A3A"/>
    <w:rsid w:val="007A5DD9"/>
    <w:rsid w:val="007A5EFB"/>
    <w:rsid w:val="007A6205"/>
    <w:rsid w:val="007A6F80"/>
    <w:rsid w:val="007A7408"/>
    <w:rsid w:val="007A760D"/>
    <w:rsid w:val="007A78AC"/>
    <w:rsid w:val="007A7A4C"/>
    <w:rsid w:val="007B0076"/>
    <w:rsid w:val="007B0302"/>
    <w:rsid w:val="007B0A3A"/>
    <w:rsid w:val="007B151D"/>
    <w:rsid w:val="007B160F"/>
    <w:rsid w:val="007B16C9"/>
    <w:rsid w:val="007B2164"/>
    <w:rsid w:val="007B2731"/>
    <w:rsid w:val="007B342E"/>
    <w:rsid w:val="007B3D85"/>
    <w:rsid w:val="007B42DD"/>
    <w:rsid w:val="007B46E3"/>
    <w:rsid w:val="007B5B77"/>
    <w:rsid w:val="007B5C3E"/>
    <w:rsid w:val="007B5E06"/>
    <w:rsid w:val="007B602D"/>
    <w:rsid w:val="007B68A0"/>
    <w:rsid w:val="007B69D9"/>
    <w:rsid w:val="007B6EC3"/>
    <w:rsid w:val="007B6F77"/>
    <w:rsid w:val="007B723E"/>
    <w:rsid w:val="007B7B6D"/>
    <w:rsid w:val="007C02FC"/>
    <w:rsid w:val="007C0711"/>
    <w:rsid w:val="007C09E1"/>
    <w:rsid w:val="007C09FB"/>
    <w:rsid w:val="007C0CA6"/>
    <w:rsid w:val="007C1406"/>
    <w:rsid w:val="007C17AA"/>
    <w:rsid w:val="007C1E2A"/>
    <w:rsid w:val="007C227C"/>
    <w:rsid w:val="007C30EC"/>
    <w:rsid w:val="007C36EE"/>
    <w:rsid w:val="007C48D2"/>
    <w:rsid w:val="007C50BF"/>
    <w:rsid w:val="007C54DB"/>
    <w:rsid w:val="007C5792"/>
    <w:rsid w:val="007C6CFB"/>
    <w:rsid w:val="007C709F"/>
    <w:rsid w:val="007C749B"/>
    <w:rsid w:val="007C7757"/>
    <w:rsid w:val="007D001F"/>
    <w:rsid w:val="007D0148"/>
    <w:rsid w:val="007D0A3E"/>
    <w:rsid w:val="007D0D75"/>
    <w:rsid w:val="007D11F6"/>
    <w:rsid w:val="007D1222"/>
    <w:rsid w:val="007D13FD"/>
    <w:rsid w:val="007D16BE"/>
    <w:rsid w:val="007D1B64"/>
    <w:rsid w:val="007D1E1C"/>
    <w:rsid w:val="007D1F62"/>
    <w:rsid w:val="007D2940"/>
    <w:rsid w:val="007D2B37"/>
    <w:rsid w:val="007D2B86"/>
    <w:rsid w:val="007D2BD0"/>
    <w:rsid w:val="007D2D3C"/>
    <w:rsid w:val="007D303F"/>
    <w:rsid w:val="007D30EF"/>
    <w:rsid w:val="007D4364"/>
    <w:rsid w:val="007D45C9"/>
    <w:rsid w:val="007D45EE"/>
    <w:rsid w:val="007D48D6"/>
    <w:rsid w:val="007D4D7D"/>
    <w:rsid w:val="007D4F36"/>
    <w:rsid w:val="007D5780"/>
    <w:rsid w:val="007D600E"/>
    <w:rsid w:val="007D6996"/>
    <w:rsid w:val="007D707C"/>
    <w:rsid w:val="007D7752"/>
    <w:rsid w:val="007D7996"/>
    <w:rsid w:val="007E06AF"/>
    <w:rsid w:val="007E1904"/>
    <w:rsid w:val="007E2278"/>
    <w:rsid w:val="007E2499"/>
    <w:rsid w:val="007E26DB"/>
    <w:rsid w:val="007E29F9"/>
    <w:rsid w:val="007E30E5"/>
    <w:rsid w:val="007E3402"/>
    <w:rsid w:val="007E3482"/>
    <w:rsid w:val="007E3518"/>
    <w:rsid w:val="007E4CA9"/>
    <w:rsid w:val="007E4E75"/>
    <w:rsid w:val="007E4E7F"/>
    <w:rsid w:val="007E5D1C"/>
    <w:rsid w:val="007E5E43"/>
    <w:rsid w:val="007E5FB6"/>
    <w:rsid w:val="007E6C90"/>
    <w:rsid w:val="007E6E01"/>
    <w:rsid w:val="007E709E"/>
    <w:rsid w:val="007E7D13"/>
    <w:rsid w:val="007F0308"/>
    <w:rsid w:val="007F0531"/>
    <w:rsid w:val="007F06FA"/>
    <w:rsid w:val="007F08F2"/>
    <w:rsid w:val="007F096F"/>
    <w:rsid w:val="007F0DE2"/>
    <w:rsid w:val="007F1909"/>
    <w:rsid w:val="007F19BC"/>
    <w:rsid w:val="007F1E9F"/>
    <w:rsid w:val="007F28E3"/>
    <w:rsid w:val="007F2909"/>
    <w:rsid w:val="007F2C68"/>
    <w:rsid w:val="007F3769"/>
    <w:rsid w:val="007F3C11"/>
    <w:rsid w:val="007F401F"/>
    <w:rsid w:val="007F48E1"/>
    <w:rsid w:val="007F4BEA"/>
    <w:rsid w:val="007F54BF"/>
    <w:rsid w:val="007F6345"/>
    <w:rsid w:val="007F703B"/>
    <w:rsid w:val="007F7252"/>
    <w:rsid w:val="007F7722"/>
    <w:rsid w:val="007F77AA"/>
    <w:rsid w:val="007F7FFD"/>
    <w:rsid w:val="00800917"/>
    <w:rsid w:val="0080094D"/>
    <w:rsid w:val="008009B4"/>
    <w:rsid w:val="008012E7"/>
    <w:rsid w:val="0080167D"/>
    <w:rsid w:val="0080170D"/>
    <w:rsid w:val="008033A5"/>
    <w:rsid w:val="008043F1"/>
    <w:rsid w:val="008045B0"/>
    <w:rsid w:val="00804707"/>
    <w:rsid w:val="008048F8"/>
    <w:rsid w:val="00805DFF"/>
    <w:rsid w:val="00806E5E"/>
    <w:rsid w:val="00807481"/>
    <w:rsid w:val="0080749D"/>
    <w:rsid w:val="00807902"/>
    <w:rsid w:val="0080799A"/>
    <w:rsid w:val="00807F11"/>
    <w:rsid w:val="0081087C"/>
    <w:rsid w:val="00812F1C"/>
    <w:rsid w:val="00813CF1"/>
    <w:rsid w:val="008142B4"/>
    <w:rsid w:val="00814BDB"/>
    <w:rsid w:val="00814EF0"/>
    <w:rsid w:val="008153AD"/>
    <w:rsid w:val="0081566E"/>
    <w:rsid w:val="00815DDD"/>
    <w:rsid w:val="008160A0"/>
    <w:rsid w:val="00816109"/>
    <w:rsid w:val="0081684B"/>
    <w:rsid w:val="00816863"/>
    <w:rsid w:val="00816BA5"/>
    <w:rsid w:val="00817CBB"/>
    <w:rsid w:val="00820365"/>
    <w:rsid w:val="00820462"/>
    <w:rsid w:val="00820889"/>
    <w:rsid w:val="008209DC"/>
    <w:rsid w:val="00820A17"/>
    <w:rsid w:val="00820FB7"/>
    <w:rsid w:val="0082148C"/>
    <w:rsid w:val="00821512"/>
    <w:rsid w:val="0082305B"/>
    <w:rsid w:val="00823116"/>
    <w:rsid w:val="0082314B"/>
    <w:rsid w:val="00823B45"/>
    <w:rsid w:val="00823BC2"/>
    <w:rsid w:val="00824842"/>
    <w:rsid w:val="00824AE2"/>
    <w:rsid w:val="00824FA8"/>
    <w:rsid w:val="00825280"/>
    <w:rsid w:val="00826BB0"/>
    <w:rsid w:val="00827455"/>
    <w:rsid w:val="0083029E"/>
    <w:rsid w:val="00830B25"/>
    <w:rsid w:val="00830B86"/>
    <w:rsid w:val="00830BF4"/>
    <w:rsid w:val="0083122B"/>
    <w:rsid w:val="008312C7"/>
    <w:rsid w:val="00831888"/>
    <w:rsid w:val="00831B3E"/>
    <w:rsid w:val="00832215"/>
    <w:rsid w:val="008329F6"/>
    <w:rsid w:val="00832A56"/>
    <w:rsid w:val="00833485"/>
    <w:rsid w:val="00833CAD"/>
    <w:rsid w:val="00833F9A"/>
    <w:rsid w:val="008340A5"/>
    <w:rsid w:val="008341AC"/>
    <w:rsid w:val="00834902"/>
    <w:rsid w:val="00835623"/>
    <w:rsid w:val="00835EAC"/>
    <w:rsid w:val="00835FFE"/>
    <w:rsid w:val="008361A5"/>
    <w:rsid w:val="008376AD"/>
    <w:rsid w:val="00837E9A"/>
    <w:rsid w:val="00840B85"/>
    <w:rsid w:val="00840D3F"/>
    <w:rsid w:val="00840F83"/>
    <w:rsid w:val="008412BE"/>
    <w:rsid w:val="00841736"/>
    <w:rsid w:val="00841BA6"/>
    <w:rsid w:val="00841BB3"/>
    <w:rsid w:val="00842429"/>
    <w:rsid w:val="00842FAB"/>
    <w:rsid w:val="0084388D"/>
    <w:rsid w:val="00843968"/>
    <w:rsid w:val="00843CE6"/>
    <w:rsid w:val="00843D51"/>
    <w:rsid w:val="00843FD0"/>
    <w:rsid w:val="008447E9"/>
    <w:rsid w:val="00844DE8"/>
    <w:rsid w:val="00845605"/>
    <w:rsid w:val="008457B7"/>
    <w:rsid w:val="008459B2"/>
    <w:rsid w:val="00846595"/>
    <w:rsid w:val="00846DBF"/>
    <w:rsid w:val="00847507"/>
    <w:rsid w:val="00847747"/>
    <w:rsid w:val="00847C65"/>
    <w:rsid w:val="00850677"/>
    <w:rsid w:val="008509E7"/>
    <w:rsid w:val="00850A39"/>
    <w:rsid w:val="00850D9B"/>
    <w:rsid w:val="00850EF9"/>
    <w:rsid w:val="00851B41"/>
    <w:rsid w:val="00851F52"/>
    <w:rsid w:val="008524FF"/>
    <w:rsid w:val="0085265E"/>
    <w:rsid w:val="008530F0"/>
    <w:rsid w:val="00854083"/>
    <w:rsid w:val="008548AE"/>
    <w:rsid w:val="008558C8"/>
    <w:rsid w:val="0085610C"/>
    <w:rsid w:val="008568E2"/>
    <w:rsid w:val="00856D95"/>
    <w:rsid w:val="0085700E"/>
    <w:rsid w:val="0085702D"/>
    <w:rsid w:val="00857770"/>
    <w:rsid w:val="00860333"/>
    <w:rsid w:val="0086062F"/>
    <w:rsid w:val="0086097C"/>
    <w:rsid w:val="00860BF8"/>
    <w:rsid w:val="00860C2A"/>
    <w:rsid w:val="00860ED8"/>
    <w:rsid w:val="00860F4A"/>
    <w:rsid w:val="00861797"/>
    <w:rsid w:val="00861A3B"/>
    <w:rsid w:val="00861D1B"/>
    <w:rsid w:val="0086214B"/>
    <w:rsid w:val="00862C4E"/>
    <w:rsid w:val="0086337D"/>
    <w:rsid w:val="008638E0"/>
    <w:rsid w:val="00863B25"/>
    <w:rsid w:val="00864F09"/>
    <w:rsid w:val="00865B3E"/>
    <w:rsid w:val="00865C42"/>
    <w:rsid w:val="00865F84"/>
    <w:rsid w:val="008661AF"/>
    <w:rsid w:val="008671EF"/>
    <w:rsid w:val="0086729C"/>
    <w:rsid w:val="008674F7"/>
    <w:rsid w:val="00867BFA"/>
    <w:rsid w:val="00867F19"/>
    <w:rsid w:val="00870F26"/>
    <w:rsid w:val="0087179E"/>
    <w:rsid w:val="00871C6D"/>
    <w:rsid w:val="008721B4"/>
    <w:rsid w:val="008737E3"/>
    <w:rsid w:val="00873E1E"/>
    <w:rsid w:val="0087442B"/>
    <w:rsid w:val="00874E10"/>
    <w:rsid w:val="0087544F"/>
    <w:rsid w:val="00875777"/>
    <w:rsid w:val="0087594D"/>
    <w:rsid w:val="00875A6E"/>
    <w:rsid w:val="00875E27"/>
    <w:rsid w:val="00875EA1"/>
    <w:rsid w:val="008762DD"/>
    <w:rsid w:val="008771E3"/>
    <w:rsid w:val="00877965"/>
    <w:rsid w:val="00877CCE"/>
    <w:rsid w:val="00877DD8"/>
    <w:rsid w:val="008812E2"/>
    <w:rsid w:val="00881701"/>
    <w:rsid w:val="00881A9B"/>
    <w:rsid w:val="00883000"/>
    <w:rsid w:val="008830B4"/>
    <w:rsid w:val="00883765"/>
    <w:rsid w:val="008839CD"/>
    <w:rsid w:val="00883F4C"/>
    <w:rsid w:val="00884050"/>
    <w:rsid w:val="0088491C"/>
    <w:rsid w:val="00884BEF"/>
    <w:rsid w:val="00884FE5"/>
    <w:rsid w:val="008854A3"/>
    <w:rsid w:val="00885522"/>
    <w:rsid w:val="00885D8A"/>
    <w:rsid w:val="00885F94"/>
    <w:rsid w:val="00886231"/>
    <w:rsid w:val="00886309"/>
    <w:rsid w:val="00886403"/>
    <w:rsid w:val="0088658C"/>
    <w:rsid w:val="0088667B"/>
    <w:rsid w:val="00886B4C"/>
    <w:rsid w:val="00886BEB"/>
    <w:rsid w:val="0088722E"/>
    <w:rsid w:val="00887531"/>
    <w:rsid w:val="00887600"/>
    <w:rsid w:val="008877ED"/>
    <w:rsid w:val="00887EA9"/>
    <w:rsid w:val="00890A1A"/>
    <w:rsid w:val="00890F91"/>
    <w:rsid w:val="008910DE"/>
    <w:rsid w:val="008911A2"/>
    <w:rsid w:val="00891344"/>
    <w:rsid w:val="008917AC"/>
    <w:rsid w:val="00892DD2"/>
    <w:rsid w:val="00892E7E"/>
    <w:rsid w:val="0089385F"/>
    <w:rsid w:val="00893AD1"/>
    <w:rsid w:val="00893DAD"/>
    <w:rsid w:val="008944FF"/>
    <w:rsid w:val="00894CCA"/>
    <w:rsid w:val="00894DA7"/>
    <w:rsid w:val="00895D83"/>
    <w:rsid w:val="00897DDE"/>
    <w:rsid w:val="008A01E2"/>
    <w:rsid w:val="008A06D8"/>
    <w:rsid w:val="008A2F71"/>
    <w:rsid w:val="008A3F0E"/>
    <w:rsid w:val="008A4207"/>
    <w:rsid w:val="008A4431"/>
    <w:rsid w:val="008A4698"/>
    <w:rsid w:val="008A553A"/>
    <w:rsid w:val="008A5610"/>
    <w:rsid w:val="008A563A"/>
    <w:rsid w:val="008A5699"/>
    <w:rsid w:val="008A5806"/>
    <w:rsid w:val="008A6513"/>
    <w:rsid w:val="008A6559"/>
    <w:rsid w:val="008A681A"/>
    <w:rsid w:val="008A7062"/>
    <w:rsid w:val="008A7532"/>
    <w:rsid w:val="008A7A2A"/>
    <w:rsid w:val="008B137D"/>
    <w:rsid w:val="008B13CC"/>
    <w:rsid w:val="008B1770"/>
    <w:rsid w:val="008B18E3"/>
    <w:rsid w:val="008B1946"/>
    <w:rsid w:val="008B1948"/>
    <w:rsid w:val="008B1AA9"/>
    <w:rsid w:val="008B2100"/>
    <w:rsid w:val="008B2731"/>
    <w:rsid w:val="008B2966"/>
    <w:rsid w:val="008B2D80"/>
    <w:rsid w:val="008B2DB4"/>
    <w:rsid w:val="008B300B"/>
    <w:rsid w:val="008B33BE"/>
    <w:rsid w:val="008B3F27"/>
    <w:rsid w:val="008B42A1"/>
    <w:rsid w:val="008B47A1"/>
    <w:rsid w:val="008B4C98"/>
    <w:rsid w:val="008B4D97"/>
    <w:rsid w:val="008B502E"/>
    <w:rsid w:val="008B553B"/>
    <w:rsid w:val="008B55CD"/>
    <w:rsid w:val="008B5F64"/>
    <w:rsid w:val="008B617F"/>
    <w:rsid w:val="008B72FA"/>
    <w:rsid w:val="008B75AC"/>
    <w:rsid w:val="008C00D0"/>
    <w:rsid w:val="008C0561"/>
    <w:rsid w:val="008C0BC4"/>
    <w:rsid w:val="008C10A2"/>
    <w:rsid w:val="008C118B"/>
    <w:rsid w:val="008C1EB9"/>
    <w:rsid w:val="008C20F3"/>
    <w:rsid w:val="008C2524"/>
    <w:rsid w:val="008C2CD5"/>
    <w:rsid w:val="008C3018"/>
    <w:rsid w:val="008C307C"/>
    <w:rsid w:val="008C3BBE"/>
    <w:rsid w:val="008C3F0A"/>
    <w:rsid w:val="008C3F9C"/>
    <w:rsid w:val="008C4ED7"/>
    <w:rsid w:val="008C54BD"/>
    <w:rsid w:val="008C554C"/>
    <w:rsid w:val="008C5A23"/>
    <w:rsid w:val="008C5B0C"/>
    <w:rsid w:val="008C62DE"/>
    <w:rsid w:val="008C63E5"/>
    <w:rsid w:val="008C789B"/>
    <w:rsid w:val="008C79B3"/>
    <w:rsid w:val="008C7EEB"/>
    <w:rsid w:val="008D0734"/>
    <w:rsid w:val="008D0E93"/>
    <w:rsid w:val="008D0F79"/>
    <w:rsid w:val="008D1606"/>
    <w:rsid w:val="008D1BC7"/>
    <w:rsid w:val="008D1CCE"/>
    <w:rsid w:val="008D23B7"/>
    <w:rsid w:val="008D2874"/>
    <w:rsid w:val="008D2B55"/>
    <w:rsid w:val="008D2CB2"/>
    <w:rsid w:val="008D30D5"/>
    <w:rsid w:val="008D3C6E"/>
    <w:rsid w:val="008D3D28"/>
    <w:rsid w:val="008D3E37"/>
    <w:rsid w:val="008D45E0"/>
    <w:rsid w:val="008D4F6F"/>
    <w:rsid w:val="008D52C9"/>
    <w:rsid w:val="008D581F"/>
    <w:rsid w:val="008D633A"/>
    <w:rsid w:val="008D655F"/>
    <w:rsid w:val="008D6648"/>
    <w:rsid w:val="008D6A28"/>
    <w:rsid w:val="008D6C58"/>
    <w:rsid w:val="008D6C64"/>
    <w:rsid w:val="008D6E01"/>
    <w:rsid w:val="008D6E7B"/>
    <w:rsid w:val="008D7023"/>
    <w:rsid w:val="008D742B"/>
    <w:rsid w:val="008D75DE"/>
    <w:rsid w:val="008D785A"/>
    <w:rsid w:val="008D7914"/>
    <w:rsid w:val="008D793A"/>
    <w:rsid w:val="008D7B71"/>
    <w:rsid w:val="008E0579"/>
    <w:rsid w:val="008E07EC"/>
    <w:rsid w:val="008E0AAD"/>
    <w:rsid w:val="008E0F64"/>
    <w:rsid w:val="008E1241"/>
    <w:rsid w:val="008E1526"/>
    <w:rsid w:val="008E18EC"/>
    <w:rsid w:val="008E19AA"/>
    <w:rsid w:val="008E1A9C"/>
    <w:rsid w:val="008E1B13"/>
    <w:rsid w:val="008E26A1"/>
    <w:rsid w:val="008E344F"/>
    <w:rsid w:val="008E356E"/>
    <w:rsid w:val="008E3722"/>
    <w:rsid w:val="008E377B"/>
    <w:rsid w:val="008E395A"/>
    <w:rsid w:val="008E3989"/>
    <w:rsid w:val="008E3992"/>
    <w:rsid w:val="008E4017"/>
    <w:rsid w:val="008E48B4"/>
    <w:rsid w:val="008E5129"/>
    <w:rsid w:val="008E5A44"/>
    <w:rsid w:val="008E5F4F"/>
    <w:rsid w:val="008E671E"/>
    <w:rsid w:val="008E7030"/>
    <w:rsid w:val="008E74D2"/>
    <w:rsid w:val="008E7760"/>
    <w:rsid w:val="008E7951"/>
    <w:rsid w:val="008E7D7B"/>
    <w:rsid w:val="008F0925"/>
    <w:rsid w:val="008F0E89"/>
    <w:rsid w:val="008F113C"/>
    <w:rsid w:val="008F1225"/>
    <w:rsid w:val="008F169F"/>
    <w:rsid w:val="008F1724"/>
    <w:rsid w:val="008F1B0F"/>
    <w:rsid w:val="008F1B30"/>
    <w:rsid w:val="008F20B0"/>
    <w:rsid w:val="008F21EF"/>
    <w:rsid w:val="008F2206"/>
    <w:rsid w:val="008F24D8"/>
    <w:rsid w:val="008F2820"/>
    <w:rsid w:val="008F32DF"/>
    <w:rsid w:val="008F34CC"/>
    <w:rsid w:val="008F35D7"/>
    <w:rsid w:val="008F3BE7"/>
    <w:rsid w:val="008F42CE"/>
    <w:rsid w:val="008F47DC"/>
    <w:rsid w:val="008F489C"/>
    <w:rsid w:val="008F4D4B"/>
    <w:rsid w:val="008F4E37"/>
    <w:rsid w:val="008F5492"/>
    <w:rsid w:val="008F5B45"/>
    <w:rsid w:val="008F5B8A"/>
    <w:rsid w:val="008F618A"/>
    <w:rsid w:val="008F6936"/>
    <w:rsid w:val="008F7DC2"/>
    <w:rsid w:val="00900400"/>
    <w:rsid w:val="0090084C"/>
    <w:rsid w:val="00901064"/>
    <w:rsid w:val="00901D41"/>
    <w:rsid w:val="009021DE"/>
    <w:rsid w:val="00902CF5"/>
    <w:rsid w:val="0090411F"/>
    <w:rsid w:val="00904153"/>
    <w:rsid w:val="00904768"/>
    <w:rsid w:val="00904971"/>
    <w:rsid w:val="00904B79"/>
    <w:rsid w:val="00904C23"/>
    <w:rsid w:val="00905389"/>
    <w:rsid w:val="00907071"/>
    <w:rsid w:val="00907485"/>
    <w:rsid w:val="00907501"/>
    <w:rsid w:val="00907C11"/>
    <w:rsid w:val="00907CBE"/>
    <w:rsid w:val="009102BD"/>
    <w:rsid w:val="0091040E"/>
    <w:rsid w:val="009108BB"/>
    <w:rsid w:val="00910E8F"/>
    <w:rsid w:val="009114D2"/>
    <w:rsid w:val="0091159E"/>
    <w:rsid w:val="00911773"/>
    <w:rsid w:val="00911806"/>
    <w:rsid w:val="009123A2"/>
    <w:rsid w:val="00913A84"/>
    <w:rsid w:val="00913C7A"/>
    <w:rsid w:val="00913D92"/>
    <w:rsid w:val="0091454A"/>
    <w:rsid w:val="0091478E"/>
    <w:rsid w:val="00914CAC"/>
    <w:rsid w:val="0091539C"/>
    <w:rsid w:val="00915ABF"/>
    <w:rsid w:val="00915C4F"/>
    <w:rsid w:val="00915D72"/>
    <w:rsid w:val="00915E9B"/>
    <w:rsid w:val="00915FFB"/>
    <w:rsid w:val="00916248"/>
    <w:rsid w:val="00916536"/>
    <w:rsid w:val="00916711"/>
    <w:rsid w:val="009169EF"/>
    <w:rsid w:val="00916E31"/>
    <w:rsid w:val="00917175"/>
    <w:rsid w:val="00917782"/>
    <w:rsid w:val="0091782F"/>
    <w:rsid w:val="00917B96"/>
    <w:rsid w:val="00917E01"/>
    <w:rsid w:val="00920165"/>
    <w:rsid w:val="00920538"/>
    <w:rsid w:val="0092056C"/>
    <w:rsid w:val="00920749"/>
    <w:rsid w:val="00920FF2"/>
    <w:rsid w:val="00921121"/>
    <w:rsid w:val="009217F2"/>
    <w:rsid w:val="009229A3"/>
    <w:rsid w:val="009234FB"/>
    <w:rsid w:val="00923A7F"/>
    <w:rsid w:val="00923DD5"/>
    <w:rsid w:val="009240A3"/>
    <w:rsid w:val="00924351"/>
    <w:rsid w:val="0092512E"/>
    <w:rsid w:val="00925166"/>
    <w:rsid w:val="0092530C"/>
    <w:rsid w:val="0092536D"/>
    <w:rsid w:val="00925440"/>
    <w:rsid w:val="0092547B"/>
    <w:rsid w:val="00925EFA"/>
    <w:rsid w:val="00926F70"/>
    <w:rsid w:val="009276E8"/>
    <w:rsid w:val="00930244"/>
    <w:rsid w:val="0093036E"/>
    <w:rsid w:val="00931269"/>
    <w:rsid w:val="009314BE"/>
    <w:rsid w:val="009317E5"/>
    <w:rsid w:val="0093235C"/>
    <w:rsid w:val="00932C7B"/>
    <w:rsid w:val="00932EAE"/>
    <w:rsid w:val="00933B22"/>
    <w:rsid w:val="0093432F"/>
    <w:rsid w:val="00934454"/>
    <w:rsid w:val="009346C2"/>
    <w:rsid w:val="00934901"/>
    <w:rsid w:val="00934CA6"/>
    <w:rsid w:val="0093504B"/>
    <w:rsid w:val="00935598"/>
    <w:rsid w:val="00935642"/>
    <w:rsid w:val="009357A3"/>
    <w:rsid w:val="00935A4B"/>
    <w:rsid w:val="00935C31"/>
    <w:rsid w:val="00935EE7"/>
    <w:rsid w:val="009363C4"/>
    <w:rsid w:val="0093641E"/>
    <w:rsid w:val="00936CE1"/>
    <w:rsid w:val="009374B1"/>
    <w:rsid w:val="00940069"/>
    <w:rsid w:val="009403F1"/>
    <w:rsid w:val="00940623"/>
    <w:rsid w:val="00940666"/>
    <w:rsid w:val="00941013"/>
    <w:rsid w:val="0094103A"/>
    <w:rsid w:val="009417B0"/>
    <w:rsid w:val="00941BC6"/>
    <w:rsid w:val="00941CCC"/>
    <w:rsid w:val="00941EC1"/>
    <w:rsid w:val="00942164"/>
    <w:rsid w:val="009434B3"/>
    <w:rsid w:val="0094361A"/>
    <w:rsid w:val="009448C1"/>
    <w:rsid w:val="00944B6A"/>
    <w:rsid w:val="00946E74"/>
    <w:rsid w:val="00946F75"/>
    <w:rsid w:val="00947A02"/>
    <w:rsid w:val="00947A2E"/>
    <w:rsid w:val="00947C31"/>
    <w:rsid w:val="00950213"/>
    <w:rsid w:val="009508DE"/>
    <w:rsid w:val="00950ACF"/>
    <w:rsid w:val="00950E44"/>
    <w:rsid w:val="00950F63"/>
    <w:rsid w:val="009511D1"/>
    <w:rsid w:val="009516F0"/>
    <w:rsid w:val="00951DD6"/>
    <w:rsid w:val="00952C60"/>
    <w:rsid w:val="00953C44"/>
    <w:rsid w:val="00954910"/>
    <w:rsid w:val="009552FE"/>
    <w:rsid w:val="00955764"/>
    <w:rsid w:val="00955A85"/>
    <w:rsid w:val="00956E36"/>
    <w:rsid w:val="009571B8"/>
    <w:rsid w:val="009573D8"/>
    <w:rsid w:val="00957600"/>
    <w:rsid w:val="00957C0F"/>
    <w:rsid w:val="00957ECA"/>
    <w:rsid w:val="00957FA6"/>
    <w:rsid w:val="0096023E"/>
    <w:rsid w:val="00960FBB"/>
    <w:rsid w:val="009621FB"/>
    <w:rsid w:val="00962E39"/>
    <w:rsid w:val="00963D6D"/>
    <w:rsid w:val="00963E88"/>
    <w:rsid w:val="0096404A"/>
    <w:rsid w:val="009640B0"/>
    <w:rsid w:val="00964372"/>
    <w:rsid w:val="00964738"/>
    <w:rsid w:val="009650F2"/>
    <w:rsid w:val="009663AD"/>
    <w:rsid w:val="00966479"/>
    <w:rsid w:val="00966813"/>
    <w:rsid w:val="00966AE9"/>
    <w:rsid w:val="00966CF7"/>
    <w:rsid w:val="0097078D"/>
    <w:rsid w:val="009709FD"/>
    <w:rsid w:val="00971355"/>
    <w:rsid w:val="00971625"/>
    <w:rsid w:val="00971D3F"/>
    <w:rsid w:val="00972158"/>
    <w:rsid w:val="00972197"/>
    <w:rsid w:val="00972901"/>
    <w:rsid w:val="00973857"/>
    <w:rsid w:val="00973D33"/>
    <w:rsid w:val="00974076"/>
    <w:rsid w:val="00974B8C"/>
    <w:rsid w:val="00974F66"/>
    <w:rsid w:val="0097620C"/>
    <w:rsid w:val="00976344"/>
    <w:rsid w:val="00976FE2"/>
    <w:rsid w:val="00980180"/>
    <w:rsid w:val="0098057F"/>
    <w:rsid w:val="00980664"/>
    <w:rsid w:val="00980998"/>
    <w:rsid w:val="00980AA1"/>
    <w:rsid w:val="009811B3"/>
    <w:rsid w:val="00981F1E"/>
    <w:rsid w:val="009829C0"/>
    <w:rsid w:val="00982EBA"/>
    <w:rsid w:val="00982FA9"/>
    <w:rsid w:val="009846BB"/>
    <w:rsid w:val="0098489A"/>
    <w:rsid w:val="00984972"/>
    <w:rsid w:val="00984D00"/>
    <w:rsid w:val="00984F55"/>
    <w:rsid w:val="009857A7"/>
    <w:rsid w:val="00985B7E"/>
    <w:rsid w:val="009861E7"/>
    <w:rsid w:val="009865AC"/>
    <w:rsid w:val="0098667C"/>
    <w:rsid w:val="009871B6"/>
    <w:rsid w:val="00987A89"/>
    <w:rsid w:val="00987A8E"/>
    <w:rsid w:val="00987DD3"/>
    <w:rsid w:val="00987EF1"/>
    <w:rsid w:val="00987F6A"/>
    <w:rsid w:val="0099091B"/>
    <w:rsid w:val="00990D04"/>
    <w:rsid w:val="00990F09"/>
    <w:rsid w:val="00991334"/>
    <w:rsid w:val="009913E0"/>
    <w:rsid w:val="00991718"/>
    <w:rsid w:val="00991DBA"/>
    <w:rsid w:val="00992D70"/>
    <w:rsid w:val="009935AD"/>
    <w:rsid w:val="0099372C"/>
    <w:rsid w:val="0099431A"/>
    <w:rsid w:val="00994CBA"/>
    <w:rsid w:val="00995325"/>
    <w:rsid w:val="0099594C"/>
    <w:rsid w:val="00995B4A"/>
    <w:rsid w:val="009960C5"/>
    <w:rsid w:val="00996277"/>
    <w:rsid w:val="00996321"/>
    <w:rsid w:val="00996AA2"/>
    <w:rsid w:val="00997A9C"/>
    <w:rsid w:val="00997B4D"/>
    <w:rsid w:val="009A1331"/>
    <w:rsid w:val="009A27A0"/>
    <w:rsid w:val="009A2B7E"/>
    <w:rsid w:val="009A32C3"/>
    <w:rsid w:val="009A3EFB"/>
    <w:rsid w:val="009A4D7B"/>
    <w:rsid w:val="009A5154"/>
    <w:rsid w:val="009A5690"/>
    <w:rsid w:val="009A592B"/>
    <w:rsid w:val="009A5B62"/>
    <w:rsid w:val="009A5FC3"/>
    <w:rsid w:val="009A64F7"/>
    <w:rsid w:val="009A658D"/>
    <w:rsid w:val="009A6C64"/>
    <w:rsid w:val="009A777D"/>
    <w:rsid w:val="009A7804"/>
    <w:rsid w:val="009A7CF4"/>
    <w:rsid w:val="009A7D33"/>
    <w:rsid w:val="009A7F2A"/>
    <w:rsid w:val="009B002A"/>
    <w:rsid w:val="009B0084"/>
    <w:rsid w:val="009B029A"/>
    <w:rsid w:val="009B050C"/>
    <w:rsid w:val="009B1122"/>
    <w:rsid w:val="009B1384"/>
    <w:rsid w:val="009B143C"/>
    <w:rsid w:val="009B1A16"/>
    <w:rsid w:val="009B213C"/>
    <w:rsid w:val="009B2EE8"/>
    <w:rsid w:val="009B43B8"/>
    <w:rsid w:val="009B489D"/>
    <w:rsid w:val="009B4C46"/>
    <w:rsid w:val="009B568C"/>
    <w:rsid w:val="009B57D6"/>
    <w:rsid w:val="009B5AD3"/>
    <w:rsid w:val="009B634E"/>
    <w:rsid w:val="009B6416"/>
    <w:rsid w:val="009B747F"/>
    <w:rsid w:val="009B7A5B"/>
    <w:rsid w:val="009B7B9E"/>
    <w:rsid w:val="009C03F6"/>
    <w:rsid w:val="009C06E7"/>
    <w:rsid w:val="009C111A"/>
    <w:rsid w:val="009C13CF"/>
    <w:rsid w:val="009C17E1"/>
    <w:rsid w:val="009C19DD"/>
    <w:rsid w:val="009C1DD2"/>
    <w:rsid w:val="009C2063"/>
    <w:rsid w:val="009C25AD"/>
    <w:rsid w:val="009C2CCF"/>
    <w:rsid w:val="009C30A8"/>
    <w:rsid w:val="009C3113"/>
    <w:rsid w:val="009C3CBB"/>
    <w:rsid w:val="009C41AB"/>
    <w:rsid w:val="009C4A9E"/>
    <w:rsid w:val="009C515A"/>
    <w:rsid w:val="009C57AD"/>
    <w:rsid w:val="009C6FAC"/>
    <w:rsid w:val="009C72B8"/>
    <w:rsid w:val="009C7679"/>
    <w:rsid w:val="009C7815"/>
    <w:rsid w:val="009C7A71"/>
    <w:rsid w:val="009C7B47"/>
    <w:rsid w:val="009D01D6"/>
    <w:rsid w:val="009D04D2"/>
    <w:rsid w:val="009D0BA1"/>
    <w:rsid w:val="009D1133"/>
    <w:rsid w:val="009D14B2"/>
    <w:rsid w:val="009D14EE"/>
    <w:rsid w:val="009D1656"/>
    <w:rsid w:val="009D18C8"/>
    <w:rsid w:val="009D2C88"/>
    <w:rsid w:val="009D3744"/>
    <w:rsid w:val="009D393C"/>
    <w:rsid w:val="009D468F"/>
    <w:rsid w:val="009D46D6"/>
    <w:rsid w:val="009D4D81"/>
    <w:rsid w:val="009D5E67"/>
    <w:rsid w:val="009D5EA7"/>
    <w:rsid w:val="009D7497"/>
    <w:rsid w:val="009E053B"/>
    <w:rsid w:val="009E1079"/>
    <w:rsid w:val="009E173B"/>
    <w:rsid w:val="009E2BC4"/>
    <w:rsid w:val="009E2D53"/>
    <w:rsid w:val="009E2F3B"/>
    <w:rsid w:val="009E3681"/>
    <w:rsid w:val="009E3DB4"/>
    <w:rsid w:val="009E3FE2"/>
    <w:rsid w:val="009E4499"/>
    <w:rsid w:val="009E4958"/>
    <w:rsid w:val="009E54A4"/>
    <w:rsid w:val="009E5790"/>
    <w:rsid w:val="009E57FE"/>
    <w:rsid w:val="009E5DBC"/>
    <w:rsid w:val="009E61AC"/>
    <w:rsid w:val="009E649C"/>
    <w:rsid w:val="009E674D"/>
    <w:rsid w:val="009E6DFF"/>
    <w:rsid w:val="009E6F9A"/>
    <w:rsid w:val="009E7626"/>
    <w:rsid w:val="009F0219"/>
    <w:rsid w:val="009F1299"/>
    <w:rsid w:val="009F141F"/>
    <w:rsid w:val="009F2993"/>
    <w:rsid w:val="009F2B0C"/>
    <w:rsid w:val="009F2C5A"/>
    <w:rsid w:val="009F2DDB"/>
    <w:rsid w:val="009F2E81"/>
    <w:rsid w:val="009F2FC1"/>
    <w:rsid w:val="009F3934"/>
    <w:rsid w:val="009F3C4B"/>
    <w:rsid w:val="009F4162"/>
    <w:rsid w:val="009F4747"/>
    <w:rsid w:val="009F4DEE"/>
    <w:rsid w:val="009F519A"/>
    <w:rsid w:val="009F59D5"/>
    <w:rsid w:val="009F5EF0"/>
    <w:rsid w:val="009F641F"/>
    <w:rsid w:val="009F67B6"/>
    <w:rsid w:val="009F6883"/>
    <w:rsid w:val="009F691C"/>
    <w:rsid w:val="009F7104"/>
    <w:rsid w:val="009F7839"/>
    <w:rsid w:val="009F7DC8"/>
    <w:rsid w:val="009F7F13"/>
    <w:rsid w:val="00A00C28"/>
    <w:rsid w:val="00A00CF3"/>
    <w:rsid w:val="00A00D15"/>
    <w:rsid w:val="00A00D22"/>
    <w:rsid w:val="00A01150"/>
    <w:rsid w:val="00A01710"/>
    <w:rsid w:val="00A01BB6"/>
    <w:rsid w:val="00A02400"/>
    <w:rsid w:val="00A027D0"/>
    <w:rsid w:val="00A02FB3"/>
    <w:rsid w:val="00A0387C"/>
    <w:rsid w:val="00A04075"/>
    <w:rsid w:val="00A0439F"/>
    <w:rsid w:val="00A04446"/>
    <w:rsid w:val="00A047EB"/>
    <w:rsid w:val="00A048C3"/>
    <w:rsid w:val="00A0570E"/>
    <w:rsid w:val="00A06140"/>
    <w:rsid w:val="00A06AC0"/>
    <w:rsid w:val="00A06DDC"/>
    <w:rsid w:val="00A0711A"/>
    <w:rsid w:val="00A07B9E"/>
    <w:rsid w:val="00A10000"/>
    <w:rsid w:val="00A1088D"/>
    <w:rsid w:val="00A10DBE"/>
    <w:rsid w:val="00A10ECF"/>
    <w:rsid w:val="00A11B2E"/>
    <w:rsid w:val="00A125A1"/>
    <w:rsid w:val="00A12C33"/>
    <w:rsid w:val="00A12E9E"/>
    <w:rsid w:val="00A1371B"/>
    <w:rsid w:val="00A138C6"/>
    <w:rsid w:val="00A138FF"/>
    <w:rsid w:val="00A13BA7"/>
    <w:rsid w:val="00A13CA0"/>
    <w:rsid w:val="00A14260"/>
    <w:rsid w:val="00A14366"/>
    <w:rsid w:val="00A1480D"/>
    <w:rsid w:val="00A1524D"/>
    <w:rsid w:val="00A16856"/>
    <w:rsid w:val="00A16AB1"/>
    <w:rsid w:val="00A16C3D"/>
    <w:rsid w:val="00A202C5"/>
    <w:rsid w:val="00A202FC"/>
    <w:rsid w:val="00A2041A"/>
    <w:rsid w:val="00A20DFD"/>
    <w:rsid w:val="00A210E5"/>
    <w:rsid w:val="00A21240"/>
    <w:rsid w:val="00A212A8"/>
    <w:rsid w:val="00A21327"/>
    <w:rsid w:val="00A21BA9"/>
    <w:rsid w:val="00A2227E"/>
    <w:rsid w:val="00A2356D"/>
    <w:rsid w:val="00A240CB"/>
    <w:rsid w:val="00A24142"/>
    <w:rsid w:val="00A24BAB"/>
    <w:rsid w:val="00A25823"/>
    <w:rsid w:val="00A25F7F"/>
    <w:rsid w:val="00A26179"/>
    <w:rsid w:val="00A2683A"/>
    <w:rsid w:val="00A26BAB"/>
    <w:rsid w:val="00A26C25"/>
    <w:rsid w:val="00A270B5"/>
    <w:rsid w:val="00A276B5"/>
    <w:rsid w:val="00A27ECB"/>
    <w:rsid w:val="00A30112"/>
    <w:rsid w:val="00A30665"/>
    <w:rsid w:val="00A30A1C"/>
    <w:rsid w:val="00A30D83"/>
    <w:rsid w:val="00A31031"/>
    <w:rsid w:val="00A3146C"/>
    <w:rsid w:val="00A3171F"/>
    <w:rsid w:val="00A31A74"/>
    <w:rsid w:val="00A31AEE"/>
    <w:rsid w:val="00A31D4E"/>
    <w:rsid w:val="00A322D8"/>
    <w:rsid w:val="00A325A3"/>
    <w:rsid w:val="00A33181"/>
    <w:rsid w:val="00A337A0"/>
    <w:rsid w:val="00A34024"/>
    <w:rsid w:val="00A3498E"/>
    <w:rsid w:val="00A34ACD"/>
    <w:rsid w:val="00A3556D"/>
    <w:rsid w:val="00A3570D"/>
    <w:rsid w:val="00A35C62"/>
    <w:rsid w:val="00A36167"/>
    <w:rsid w:val="00A365B4"/>
    <w:rsid w:val="00A373F8"/>
    <w:rsid w:val="00A378FC"/>
    <w:rsid w:val="00A402F9"/>
    <w:rsid w:val="00A40A62"/>
    <w:rsid w:val="00A41413"/>
    <w:rsid w:val="00A41448"/>
    <w:rsid w:val="00A41F89"/>
    <w:rsid w:val="00A442C1"/>
    <w:rsid w:val="00A44B40"/>
    <w:rsid w:val="00A452BB"/>
    <w:rsid w:val="00A452E5"/>
    <w:rsid w:val="00A45409"/>
    <w:rsid w:val="00A454DF"/>
    <w:rsid w:val="00A45640"/>
    <w:rsid w:val="00A456FE"/>
    <w:rsid w:val="00A45BD8"/>
    <w:rsid w:val="00A467DC"/>
    <w:rsid w:val="00A46B41"/>
    <w:rsid w:val="00A46DDB"/>
    <w:rsid w:val="00A479E3"/>
    <w:rsid w:val="00A47A05"/>
    <w:rsid w:val="00A47B03"/>
    <w:rsid w:val="00A47C0D"/>
    <w:rsid w:val="00A506EA"/>
    <w:rsid w:val="00A5075A"/>
    <w:rsid w:val="00A51100"/>
    <w:rsid w:val="00A51752"/>
    <w:rsid w:val="00A51BA8"/>
    <w:rsid w:val="00A51EBF"/>
    <w:rsid w:val="00A52026"/>
    <w:rsid w:val="00A5221B"/>
    <w:rsid w:val="00A52ECB"/>
    <w:rsid w:val="00A535F7"/>
    <w:rsid w:val="00A5424D"/>
    <w:rsid w:val="00A5465F"/>
    <w:rsid w:val="00A54664"/>
    <w:rsid w:val="00A559C0"/>
    <w:rsid w:val="00A559FF"/>
    <w:rsid w:val="00A55D15"/>
    <w:rsid w:val="00A55D44"/>
    <w:rsid w:val="00A5611A"/>
    <w:rsid w:val="00A56356"/>
    <w:rsid w:val="00A5640F"/>
    <w:rsid w:val="00A57327"/>
    <w:rsid w:val="00A579C3"/>
    <w:rsid w:val="00A579CE"/>
    <w:rsid w:val="00A57B42"/>
    <w:rsid w:val="00A60294"/>
    <w:rsid w:val="00A60DA0"/>
    <w:rsid w:val="00A60DA9"/>
    <w:rsid w:val="00A61016"/>
    <w:rsid w:val="00A61272"/>
    <w:rsid w:val="00A61794"/>
    <w:rsid w:val="00A619A7"/>
    <w:rsid w:val="00A61BAB"/>
    <w:rsid w:val="00A623FC"/>
    <w:rsid w:val="00A6244F"/>
    <w:rsid w:val="00A626E8"/>
    <w:rsid w:val="00A62B1E"/>
    <w:rsid w:val="00A63220"/>
    <w:rsid w:val="00A63265"/>
    <w:rsid w:val="00A6383F"/>
    <w:rsid w:val="00A63938"/>
    <w:rsid w:val="00A65076"/>
    <w:rsid w:val="00A6570B"/>
    <w:rsid w:val="00A65847"/>
    <w:rsid w:val="00A65AF6"/>
    <w:rsid w:val="00A6610F"/>
    <w:rsid w:val="00A664EF"/>
    <w:rsid w:val="00A667F5"/>
    <w:rsid w:val="00A66E8A"/>
    <w:rsid w:val="00A672A3"/>
    <w:rsid w:val="00A7011C"/>
    <w:rsid w:val="00A703E3"/>
    <w:rsid w:val="00A7046E"/>
    <w:rsid w:val="00A71489"/>
    <w:rsid w:val="00A71F2D"/>
    <w:rsid w:val="00A7230B"/>
    <w:rsid w:val="00A726FA"/>
    <w:rsid w:val="00A72C1A"/>
    <w:rsid w:val="00A72FE9"/>
    <w:rsid w:val="00A730AC"/>
    <w:rsid w:val="00A745FA"/>
    <w:rsid w:val="00A74A9F"/>
    <w:rsid w:val="00A74AD3"/>
    <w:rsid w:val="00A74ED7"/>
    <w:rsid w:val="00A75D47"/>
    <w:rsid w:val="00A76444"/>
    <w:rsid w:val="00A76A0B"/>
    <w:rsid w:val="00A7729A"/>
    <w:rsid w:val="00A77600"/>
    <w:rsid w:val="00A77840"/>
    <w:rsid w:val="00A778C7"/>
    <w:rsid w:val="00A77EA1"/>
    <w:rsid w:val="00A77F20"/>
    <w:rsid w:val="00A81C05"/>
    <w:rsid w:val="00A81CF0"/>
    <w:rsid w:val="00A82168"/>
    <w:rsid w:val="00A82E98"/>
    <w:rsid w:val="00A82E9B"/>
    <w:rsid w:val="00A82F1A"/>
    <w:rsid w:val="00A82F1D"/>
    <w:rsid w:val="00A82FEF"/>
    <w:rsid w:val="00A83229"/>
    <w:rsid w:val="00A83BBF"/>
    <w:rsid w:val="00A83F4D"/>
    <w:rsid w:val="00A84915"/>
    <w:rsid w:val="00A85B5C"/>
    <w:rsid w:val="00A85F5F"/>
    <w:rsid w:val="00A86914"/>
    <w:rsid w:val="00A86AF5"/>
    <w:rsid w:val="00A86FA2"/>
    <w:rsid w:val="00A87EB8"/>
    <w:rsid w:val="00A87EFC"/>
    <w:rsid w:val="00A900D6"/>
    <w:rsid w:val="00A901CC"/>
    <w:rsid w:val="00A905E7"/>
    <w:rsid w:val="00A90672"/>
    <w:rsid w:val="00A91307"/>
    <w:rsid w:val="00A9139C"/>
    <w:rsid w:val="00A91891"/>
    <w:rsid w:val="00A918AA"/>
    <w:rsid w:val="00A91E23"/>
    <w:rsid w:val="00A9287B"/>
    <w:rsid w:val="00A92C65"/>
    <w:rsid w:val="00A9371B"/>
    <w:rsid w:val="00A938E0"/>
    <w:rsid w:val="00A94746"/>
    <w:rsid w:val="00A948FD"/>
    <w:rsid w:val="00A9589B"/>
    <w:rsid w:val="00A95C0F"/>
    <w:rsid w:val="00A95E34"/>
    <w:rsid w:val="00A966C3"/>
    <w:rsid w:val="00A969F0"/>
    <w:rsid w:val="00A96B7E"/>
    <w:rsid w:val="00A97139"/>
    <w:rsid w:val="00A9722A"/>
    <w:rsid w:val="00A9767E"/>
    <w:rsid w:val="00AA09CF"/>
    <w:rsid w:val="00AA0F26"/>
    <w:rsid w:val="00AA1021"/>
    <w:rsid w:val="00AA1A0D"/>
    <w:rsid w:val="00AA1DF6"/>
    <w:rsid w:val="00AA2401"/>
    <w:rsid w:val="00AA24D1"/>
    <w:rsid w:val="00AA25C0"/>
    <w:rsid w:val="00AA31F8"/>
    <w:rsid w:val="00AA3719"/>
    <w:rsid w:val="00AA3B46"/>
    <w:rsid w:val="00AA46FB"/>
    <w:rsid w:val="00AA4B91"/>
    <w:rsid w:val="00AA5084"/>
    <w:rsid w:val="00AA5551"/>
    <w:rsid w:val="00AA5B7D"/>
    <w:rsid w:val="00AA5C8E"/>
    <w:rsid w:val="00AA5FA1"/>
    <w:rsid w:val="00AA630D"/>
    <w:rsid w:val="00AA6369"/>
    <w:rsid w:val="00AA72C2"/>
    <w:rsid w:val="00AA7450"/>
    <w:rsid w:val="00AA74F4"/>
    <w:rsid w:val="00AA7999"/>
    <w:rsid w:val="00AB0152"/>
    <w:rsid w:val="00AB02E7"/>
    <w:rsid w:val="00AB0C54"/>
    <w:rsid w:val="00AB13F6"/>
    <w:rsid w:val="00AB1E2D"/>
    <w:rsid w:val="00AB1F7D"/>
    <w:rsid w:val="00AB21D7"/>
    <w:rsid w:val="00AB25C6"/>
    <w:rsid w:val="00AB2A92"/>
    <w:rsid w:val="00AB39F6"/>
    <w:rsid w:val="00AB3C5E"/>
    <w:rsid w:val="00AB3D54"/>
    <w:rsid w:val="00AB4B3D"/>
    <w:rsid w:val="00AB4B5F"/>
    <w:rsid w:val="00AB4F68"/>
    <w:rsid w:val="00AB530E"/>
    <w:rsid w:val="00AB5742"/>
    <w:rsid w:val="00AB5775"/>
    <w:rsid w:val="00AB6196"/>
    <w:rsid w:val="00AB6670"/>
    <w:rsid w:val="00AB6CFB"/>
    <w:rsid w:val="00AB7307"/>
    <w:rsid w:val="00AB74D0"/>
    <w:rsid w:val="00AB7540"/>
    <w:rsid w:val="00AB75E4"/>
    <w:rsid w:val="00AB7773"/>
    <w:rsid w:val="00AB7F4D"/>
    <w:rsid w:val="00AC0192"/>
    <w:rsid w:val="00AC0492"/>
    <w:rsid w:val="00AC07CC"/>
    <w:rsid w:val="00AC0CAF"/>
    <w:rsid w:val="00AC0DCD"/>
    <w:rsid w:val="00AC22AE"/>
    <w:rsid w:val="00AC2329"/>
    <w:rsid w:val="00AC2A6C"/>
    <w:rsid w:val="00AC2D42"/>
    <w:rsid w:val="00AC2E05"/>
    <w:rsid w:val="00AC30EB"/>
    <w:rsid w:val="00AC38F5"/>
    <w:rsid w:val="00AC3BA5"/>
    <w:rsid w:val="00AC3D01"/>
    <w:rsid w:val="00AC3DE7"/>
    <w:rsid w:val="00AC4227"/>
    <w:rsid w:val="00AC44C0"/>
    <w:rsid w:val="00AC4B36"/>
    <w:rsid w:val="00AC4E6D"/>
    <w:rsid w:val="00AC5535"/>
    <w:rsid w:val="00AC5615"/>
    <w:rsid w:val="00AC636B"/>
    <w:rsid w:val="00AC68D8"/>
    <w:rsid w:val="00AC6F40"/>
    <w:rsid w:val="00AC739A"/>
    <w:rsid w:val="00AC766C"/>
    <w:rsid w:val="00AC786B"/>
    <w:rsid w:val="00AD0C66"/>
    <w:rsid w:val="00AD0CC7"/>
    <w:rsid w:val="00AD14F5"/>
    <w:rsid w:val="00AD172B"/>
    <w:rsid w:val="00AD1F57"/>
    <w:rsid w:val="00AD204B"/>
    <w:rsid w:val="00AD2119"/>
    <w:rsid w:val="00AD2248"/>
    <w:rsid w:val="00AD2292"/>
    <w:rsid w:val="00AD2C81"/>
    <w:rsid w:val="00AD2D52"/>
    <w:rsid w:val="00AD3BF1"/>
    <w:rsid w:val="00AD3D43"/>
    <w:rsid w:val="00AD42B4"/>
    <w:rsid w:val="00AD4424"/>
    <w:rsid w:val="00AD4A29"/>
    <w:rsid w:val="00AD5350"/>
    <w:rsid w:val="00AD5641"/>
    <w:rsid w:val="00AD5691"/>
    <w:rsid w:val="00AD59CB"/>
    <w:rsid w:val="00AD5D21"/>
    <w:rsid w:val="00AD6036"/>
    <w:rsid w:val="00AD644C"/>
    <w:rsid w:val="00AD684E"/>
    <w:rsid w:val="00AD73C5"/>
    <w:rsid w:val="00AD7CD8"/>
    <w:rsid w:val="00AE0E7D"/>
    <w:rsid w:val="00AE1025"/>
    <w:rsid w:val="00AE1560"/>
    <w:rsid w:val="00AE159C"/>
    <w:rsid w:val="00AE1905"/>
    <w:rsid w:val="00AE1CB7"/>
    <w:rsid w:val="00AE2ED8"/>
    <w:rsid w:val="00AE37BB"/>
    <w:rsid w:val="00AE3846"/>
    <w:rsid w:val="00AE3985"/>
    <w:rsid w:val="00AE4388"/>
    <w:rsid w:val="00AE4C01"/>
    <w:rsid w:val="00AE54CD"/>
    <w:rsid w:val="00AE54F2"/>
    <w:rsid w:val="00AE56D6"/>
    <w:rsid w:val="00AE5C34"/>
    <w:rsid w:val="00AE5F0F"/>
    <w:rsid w:val="00AE6F34"/>
    <w:rsid w:val="00AE72A8"/>
    <w:rsid w:val="00AE7673"/>
    <w:rsid w:val="00AF01AE"/>
    <w:rsid w:val="00AF25DA"/>
    <w:rsid w:val="00AF2E72"/>
    <w:rsid w:val="00AF309D"/>
    <w:rsid w:val="00AF3F36"/>
    <w:rsid w:val="00AF50FD"/>
    <w:rsid w:val="00AF5509"/>
    <w:rsid w:val="00AF5602"/>
    <w:rsid w:val="00AF5628"/>
    <w:rsid w:val="00AF6FE3"/>
    <w:rsid w:val="00AF72AE"/>
    <w:rsid w:val="00AF77E8"/>
    <w:rsid w:val="00AF7E72"/>
    <w:rsid w:val="00B001AD"/>
    <w:rsid w:val="00B0051E"/>
    <w:rsid w:val="00B005E5"/>
    <w:rsid w:val="00B00796"/>
    <w:rsid w:val="00B00C55"/>
    <w:rsid w:val="00B00E68"/>
    <w:rsid w:val="00B01033"/>
    <w:rsid w:val="00B014AD"/>
    <w:rsid w:val="00B01B68"/>
    <w:rsid w:val="00B02030"/>
    <w:rsid w:val="00B02ACD"/>
    <w:rsid w:val="00B0338F"/>
    <w:rsid w:val="00B034E6"/>
    <w:rsid w:val="00B03663"/>
    <w:rsid w:val="00B03AE4"/>
    <w:rsid w:val="00B0483E"/>
    <w:rsid w:val="00B04DCD"/>
    <w:rsid w:val="00B051F2"/>
    <w:rsid w:val="00B05327"/>
    <w:rsid w:val="00B0622C"/>
    <w:rsid w:val="00B062D4"/>
    <w:rsid w:val="00B06629"/>
    <w:rsid w:val="00B06FEC"/>
    <w:rsid w:val="00B070F7"/>
    <w:rsid w:val="00B07115"/>
    <w:rsid w:val="00B0789B"/>
    <w:rsid w:val="00B10A08"/>
    <w:rsid w:val="00B10FE3"/>
    <w:rsid w:val="00B12103"/>
    <w:rsid w:val="00B1286A"/>
    <w:rsid w:val="00B128DD"/>
    <w:rsid w:val="00B12C8F"/>
    <w:rsid w:val="00B13017"/>
    <w:rsid w:val="00B130A3"/>
    <w:rsid w:val="00B13593"/>
    <w:rsid w:val="00B13677"/>
    <w:rsid w:val="00B13D25"/>
    <w:rsid w:val="00B14338"/>
    <w:rsid w:val="00B1437D"/>
    <w:rsid w:val="00B14B60"/>
    <w:rsid w:val="00B14F15"/>
    <w:rsid w:val="00B151E7"/>
    <w:rsid w:val="00B152C4"/>
    <w:rsid w:val="00B15400"/>
    <w:rsid w:val="00B15974"/>
    <w:rsid w:val="00B15A6A"/>
    <w:rsid w:val="00B15D64"/>
    <w:rsid w:val="00B16071"/>
    <w:rsid w:val="00B16151"/>
    <w:rsid w:val="00B16CB2"/>
    <w:rsid w:val="00B1731B"/>
    <w:rsid w:val="00B17497"/>
    <w:rsid w:val="00B2068E"/>
    <w:rsid w:val="00B20859"/>
    <w:rsid w:val="00B218A4"/>
    <w:rsid w:val="00B21A03"/>
    <w:rsid w:val="00B2235C"/>
    <w:rsid w:val="00B2256F"/>
    <w:rsid w:val="00B22988"/>
    <w:rsid w:val="00B22CFA"/>
    <w:rsid w:val="00B22DE1"/>
    <w:rsid w:val="00B22E7B"/>
    <w:rsid w:val="00B22F71"/>
    <w:rsid w:val="00B232C7"/>
    <w:rsid w:val="00B233B5"/>
    <w:rsid w:val="00B239F5"/>
    <w:rsid w:val="00B23B1A"/>
    <w:rsid w:val="00B24235"/>
    <w:rsid w:val="00B24406"/>
    <w:rsid w:val="00B245D7"/>
    <w:rsid w:val="00B2499F"/>
    <w:rsid w:val="00B25378"/>
    <w:rsid w:val="00B26233"/>
    <w:rsid w:val="00B264D5"/>
    <w:rsid w:val="00B26894"/>
    <w:rsid w:val="00B268F7"/>
    <w:rsid w:val="00B26982"/>
    <w:rsid w:val="00B26A0D"/>
    <w:rsid w:val="00B26F85"/>
    <w:rsid w:val="00B272E4"/>
    <w:rsid w:val="00B27687"/>
    <w:rsid w:val="00B27CB8"/>
    <w:rsid w:val="00B27F71"/>
    <w:rsid w:val="00B300B8"/>
    <w:rsid w:val="00B30361"/>
    <w:rsid w:val="00B30E2C"/>
    <w:rsid w:val="00B311FD"/>
    <w:rsid w:val="00B31CC9"/>
    <w:rsid w:val="00B320BB"/>
    <w:rsid w:val="00B322BE"/>
    <w:rsid w:val="00B324D9"/>
    <w:rsid w:val="00B32D43"/>
    <w:rsid w:val="00B32EB4"/>
    <w:rsid w:val="00B335E4"/>
    <w:rsid w:val="00B33B0E"/>
    <w:rsid w:val="00B33C7F"/>
    <w:rsid w:val="00B33CA9"/>
    <w:rsid w:val="00B33EFB"/>
    <w:rsid w:val="00B3407C"/>
    <w:rsid w:val="00B34B68"/>
    <w:rsid w:val="00B35554"/>
    <w:rsid w:val="00B3580E"/>
    <w:rsid w:val="00B35C1C"/>
    <w:rsid w:val="00B36368"/>
    <w:rsid w:val="00B3731C"/>
    <w:rsid w:val="00B3765A"/>
    <w:rsid w:val="00B37702"/>
    <w:rsid w:val="00B37E94"/>
    <w:rsid w:val="00B404E3"/>
    <w:rsid w:val="00B4055F"/>
    <w:rsid w:val="00B407CD"/>
    <w:rsid w:val="00B40A11"/>
    <w:rsid w:val="00B40B85"/>
    <w:rsid w:val="00B40BBB"/>
    <w:rsid w:val="00B40D5E"/>
    <w:rsid w:val="00B40FAC"/>
    <w:rsid w:val="00B4106B"/>
    <w:rsid w:val="00B41D03"/>
    <w:rsid w:val="00B42087"/>
    <w:rsid w:val="00B42B88"/>
    <w:rsid w:val="00B42B9C"/>
    <w:rsid w:val="00B42C16"/>
    <w:rsid w:val="00B42C74"/>
    <w:rsid w:val="00B42E12"/>
    <w:rsid w:val="00B43409"/>
    <w:rsid w:val="00B434B1"/>
    <w:rsid w:val="00B43881"/>
    <w:rsid w:val="00B44308"/>
    <w:rsid w:val="00B4435D"/>
    <w:rsid w:val="00B44FAB"/>
    <w:rsid w:val="00B45D81"/>
    <w:rsid w:val="00B4601B"/>
    <w:rsid w:val="00B462D6"/>
    <w:rsid w:val="00B46522"/>
    <w:rsid w:val="00B46F66"/>
    <w:rsid w:val="00B4754A"/>
    <w:rsid w:val="00B47711"/>
    <w:rsid w:val="00B47A63"/>
    <w:rsid w:val="00B47A8F"/>
    <w:rsid w:val="00B47B30"/>
    <w:rsid w:val="00B47D56"/>
    <w:rsid w:val="00B47E5C"/>
    <w:rsid w:val="00B50089"/>
    <w:rsid w:val="00B505D2"/>
    <w:rsid w:val="00B50A64"/>
    <w:rsid w:val="00B50EAD"/>
    <w:rsid w:val="00B5131D"/>
    <w:rsid w:val="00B51F54"/>
    <w:rsid w:val="00B524D8"/>
    <w:rsid w:val="00B52888"/>
    <w:rsid w:val="00B52B4D"/>
    <w:rsid w:val="00B52D3A"/>
    <w:rsid w:val="00B531AF"/>
    <w:rsid w:val="00B53564"/>
    <w:rsid w:val="00B538BD"/>
    <w:rsid w:val="00B54336"/>
    <w:rsid w:val="00B5470C"/>
    <w:rsid w:val="00B54766"/>
    <w:rsid w:val="00B54ADE"/>
    <w:rsid w:val="00B54E1D"/>
    <w:rsid w:val="00B550B8"/>
    <w:rsid w:val="00B556B3"/>
    <w:rsid w:val="00B55C28"/>
    <w:rsid w:val="00B56C1C"/>
    <w:rsid w:val="00B56D62"/>
    <w:rsid w:val="00B56DF0"/>
    <w:rsid w:val="00B56E31"/>
    <w:rsid w:val="00B57057"/>
    <w:rsid w:val="00B572F9"/>
    <w:rsid w:val="00B606BE"/>
    <w:rsid w:val="00B60A8C"/>
    <w:rsid w:val="00B60F2D"/>
    <w:rsid w:val="00B61228"/>
    <w:rsid w:val="00B61775"/>
    <w:rsid w:val="00B61DAA"/>
    <w:rsid w:val="00B62011"/>
    <w:rsid w:val="00B6205F"/>
    <w:rsid w:val="00B624DD"/>
    <w:rsid w:val="00B63204"/>
    <w:rsid w:val="00B63361"/>
    <w:rsid w:val="00B63D3B"/>
    <w:rsid w:val="00B64572"/>
    <w:rsid w:val="00B64BB9"/>
    <w:rsid w:val="00B650F8"/>
    <w:rsid w:val="00B6522E"/>
    <w:rsid w:val="00B659C8"/>
    <w:rsid w:val="00B667E6"/>
    <w:rsid w:val="00B66A85"/>
    <w:rsid w:val="00B66C3F"/>
    <w:rsid w:val="00B67578"/>
    <w:rsid w:val="00B67819"/>
    <w:rsid w:val="00B67868"/>
    <w:rsid w:val="00B67E9D"/>
    <w:rsid w:val="00B706EB"/>
    <w:rsid w:val="00B70969"/>
    <w:rsid w:val="00B70B3A"/>
    <w:rsid w:val="00B71435"/>
    <w:rsid w:val="00B719C9"/>
    <w:rsid w:val="00B71F59"/>
    <w:rsid w:val="00B71F7F"/>
    <w:rsid w:val="00B720FC"/>
    <w:rsid w:val="00B729E9"/>
    <w:rsid w:val="00B72EE9"/>
    <w:rsid w:val="00B72F83"/>
    <w:rsid w:val="00B73B06"/>
    <w:rsid w:val="00B73D1D"/>
    <w:rsid w:val="00B73E1F"/>
    <w:rsid w:val="00B740F4"/>
    <w:rsid w:val="00B74242"/>
    <w:rsid w:val="00B7487E"/>
    <w:rsid w:val="00B74E07"/>
    <w:rsid w:val="00B750FB"/>
    <w:rsid w:val="00B7585B"/>
    <w:rsid w:val="00B7593C"/>
    <w:rsid w:val="00B75B4C"/>
    <w:rsid w:val="00B75ECD"/>
    <w:rsid w:val="00B768B4"/>
    <w:rsid w:val="00B76B9D"/>
    <w:rsid w:val="00B7709B"/>
    <w:rsid w:val="00B778F1"/>
    <w:rsid w:val="00B77FA9"/>
    <w:rsid w:val="00B80088"/>
    <w:rsid w:val="00B8058D"/>
    <w:rsid w:val="00B805AF"/>
    <w:rsid w:val="00B80710"/>
    <w:rsid w:val="00B80FB6"/>
    <w:rsid w:val="00B81497"/>
    <w:rsid w:val="00B81862"/>
    <w:rsid w:val="00B81CEA"/>
    <w:rsid w:val="00B81D37"/>
    <w:rsid w:val="00B828C6"/>
    <w:rsid w:val="00B82A09"/>
    <w:rsid w:val="00B82DF3"/>
    <w:rsid w:val="00B832C5"/>
    <w:rsid w:val="00B83425"/>
    <w:rsid w:val="00B84A9D"/>
    <w:rsid w:val="00B84FBE"/>
    <w:rsid w:val="00B85335"/>
    <w:rsid w:val="00B863B9"/>
    <w:rsid w:val="00B86822"/>
    <w:rsid w:val="00B87D79"/>
    <w:rsid w:val="00B90427"/>
    <w:rsid w:val="00B90DC5"/>
    <w:rsid w:val="00B9101C"/>
    <w:rsid w:val="00B911BE"/>
    <w:rsid w:val="00B91D6E"/>
    <w:rsid w:val="00B92E10"/>
    <w:rsid w:val="00B93814"/>
    <w:rsid w:val="00B93C2C"/>
    <w:rsid w:val="00B93C87"/>
    <w:rsid w:val="00B93EF7"/>
    <w:rsid w:val="00B94F10"/>
    <w:rsid w:val="00B95168"/>
    <w:rsid w:val="00B9559B"/>
    <w:rsid w:val="00B95DC9"/>
    <w:rsid w:val="00B96943"/>
    <w:rsid w:val="00B96C3C"/>
    <w:rsid w:val="00B96C56"/>
    <w:rsid w:val="00B9713B"/>
    <w:rsid w:val="00B972B7"/>
    <w:rsid w:val="00B976B9"/>
    <w:rsid w:val="00B97A4D"/>
    <w:rsid w:val="00B97DF9"/>
    <w:rsid w:val="00BA0057"/>
    <w:rsid w:val="00BA08F8"/>
    <w:rsid w:val="00BA168D"/>
    <w:rsid w:val="00BA184A"/>
    <w:rsid w:val="00BA1E1F"/>
    <w:rsid w:val="00BA1E8F"/>
    <w:rsid w:val="00BA2137"/>
    <w:rsid w:val="00BA2308"/>
    <w:rsid w:val="00BA235E"/>
    <w:rsid w:val="00BA25E3"/>
    <w:rsid w:val="00BA26C3"/>
    <w:rsid w:val="00BA298A"/>
    <w:rsid w:val="00BA3149"/>
    <w:rsid w:val="00BA317C"/>
    <w:rsid w:val="00BA42D7"/>
    <w:rsid w:val="00BA44F3"/>
    <w:rsid w:val="00BA456C"/>
    <w:rsid w:val="00BA464B"/>
    <w:rsid w:val="00BA468B"/>
    <w:rsid w:val="00BA4DA9"/>
    <w:rsid w:val="00BA5AF1"/>
    <w:rsid w:val="00BA5C6B"/>
    <w:rsid w:val="00BA5D24"/>
    <w:rsid w:val="00BA6FB9"/>
    <w:rsid w:val="00BA7089"/>
    <w:rsid w:val="00BA7CD7"/>
    <w:rsid w:val="00BB0056"/>
    <w:rsid w:val="00BB03F6"/>
    <w:rsid w:val="00BB064B"/>
    <w:rsid w:val="00BB0714"/>
    <w:rsid w:val="00BB08CF"/>
    <w:rsid w:val="00BB0BCC"/>
    <w:rsid w:val="00BB119C"/>
    <w:rsid w:val="00BB1476"/>
    <w:rsid w:val="00BB23A4"/>
    <w:rsid w:val="00BB30FA"/>
    <w:rsid w:val="00BB360E"/>
    <w:rsid w:val="00BB39DF"/>
    <w:rsid w:val="00BB3EB3"/>
    <w:rsid w:val="00BB42CC"/>
    <w:rsid w:val="00BB4314"/>
    <w:rsid w:val="00BB58F9"/>
    <w:rsid w:val="00BB5C42"/>
    <w:rsid w:val="00BB64A0"/>
    <w:rsid w:val="00BB6D48"/>
    <w:rsid w:val="00BB6F88"/>
    <w:rsid w:val="00BB709C"/>
    <w:rsid w:val="00BB71AE"/>
    <w:rsid w:val="00BB7AEC"/>
    <w:rsid w:val="00BB7B08"/>
    <w:rsid w:val="00BB7B5F"/>
    <w:rsid w:val="00BC0F4B"/>
    <w:rsid w:val="00BC11BE"/>
    <w:rsid w:val="00BC1480"/>
    <w:rsid w:val="00BC1869"/>
    <w:rsid w:val="00BC2190"/>
    <w:rsid w:val="00BC22F8"/>
    <w:rsid w:val="00BC2A60"/>
    <w:rsid w:val="00BC2BAC"/>
    <w:rsid w:val="00BC3F7A"/>
    <w:rsid w:val="00BC414B"/>
    <w:rsid w:val="00BC4948"/>
    <w:rsid w:val="00BC4CDE"/>
    <w:rsid w:val="00BC4D40"/>
    <w:rsid w:val="00BC6198"/>
    <w:rsid w:val="00BC63E7"/>
    <w:rsid w:val="00BC67B6"/>
    <w:rsid w:val="00BC6832"/>
    <w:rsid w:val="00BC6C5F"/>
    <w:rsid w:val="00BC6DD8"/>
    <w:rsid w:val="00BC7284"/>
    <w:rsid w:val="00BC7307"/>
    <w:rsid w:val="00BC7876"/>
    <w:rsid w:val="00BD06DE"/>
    <w:rsid w:val="00BD0F26"/>
    <w:rsid w:val="00BD1090"/>
    <w:rsid w:val="00BD13D8"/>
    <w:rsid w:val="00BD17BF"/>
    <w:rsid w:val="00BD1823"/>
    <w:rsid w:val="00BD1875"/>
    <w:rsid w:val="00BD24F3"/>
    <w:rsid w:val="00BD2B7D"/>
    <w:rsid w:val="00BD2C8F"/>
    <w:rsid w:val="00BD3084"/>
    <w:rsid w:val="00BD31FD"/>
    <w:rsid w:val="00BD3BF4"/>
    <w:rsid w:val="00BD4F5D"/>
    <w:rsid w:val="00BD51C4"/>
    <w:rsid w:val="00BD52B8"/>
    <w:rsid w:val="00BD56DD"/>
    <w:rsid w:val="00BD57F0"/>
    <w:rsid w:val="00BD5860"/>
    <w:rsid w:val="00BD5B69"/>
    <w:rsid w:val="00BD5C4D"/>
    <w:rsid w:val="00BD60C4"/>
    <w:rsid w:val="00BD648A"/>
    <w:rsid w:val="00BD6FA1"/>
    <w:rsid w:val="00BD74AC"/>
    <w:rsid w:val="00BE009D"/>
    <w:rsid w:val="00BE02CF"/>
    <w:rsid w:val="00BE0335"/>
    <w:rsid w:val="00BE05B9"/>
    <w:rsid w:val="00BE067B"/>
    <w:rsid w:val="00BE0FAE"/>
    <w:rsid w:val="00BE105B"/>
    <w:rsid w:val="00BE120E"/>
    <w:rsid w:val="00BE1240"/>
    <w:rsid w:val="00BE1634"/>
    <w:rsid w:val="00BE1913"/>
    <w:rsid w:val="00BE2271"/>
    <w:rsid w:val="00BE2772"/>
    <w:rsid w:val="00BE2CA7"/>
    <w:rsid w:val="00BE2DD4"/>
    <w:rsid w:val="00BE30A7"/>
    <w:rsid w:val="00BE335A"/>
    <w:rsid w:val="00BE3491"/>
    <w:rsid w:val="00BE34BC"/>
    <w:rsid w:val="00BE431F"/>
    <w:rsid w:val="00BE456F"/>
    <w:rsid w:val="00BE47EC"/>
    <w:rsid w:val="00BE4B65"/>
    <w:rsid w:val="00BE4F06"/>
    <w:rsid w:val="00BE506B"/>
    <w:rsid w:val="00BE535B"/>
    <w:rsid w:val="00BE539C"/>
    <w:rsid w:val="00BE53A4"/>
    <w:rsid w:val="00BE5854"/>
    <w:rsid w:val="00BE5F29"/>
    <w:rsid w:val="00BE668A"/>
    <w:rsid w:val="00BE6A4D"/>
    <w:rsid w:val="00BE6A7C"/>
    <w:rsid w:val="00BE6EB6"/>
    <w:rsid w:val="00BE76FE"/>
    <w:rsid w:val="00BE78B6"/>
    <w:rsid w:val="00BF001B"/>
    <w:rsid w:val="00BF0B0A"/>
    <w:rsid w:val="00BF0B0E"/>
    <w:rsid w:val="00BF180C"/>
    <w:rsid w:val="00BF1BDA"/>
    <w:rsid w:val="00BF217B"/>
    <w:rsid w:val="00BF21CE"/>
    <w:rsid w:val="00BF26A7"/>
    <w:rsid w:val="00BF29F9"/>
    <w:rsid w:val="00BF2DB9"/>
    <w:rsid w:val="00BF2F3B"/>
    <w:rsid w:val="00BF37E9"/>
    <w:rsid w:val="00BF3D04"/>
    <w:rsid w:val="00BF41CC"/>
    <w:rsid w:val="00BF485E"/>
    <w:rsid w:val="00BF4F3D"/>
    <w:rsid w:val="00BF5058"/>
    <w:rsid w:val="00BF553C"/>
    <w:rsid w:val="00BF567B"/>
    <w:rsid w:val="00BF5773"/>
    <w:rsid w:val="00BF5A60"/>
    <w:rsid w:val="00BF5D6D"/>
    <w:rsid w:val="00BF5DCA"/>
    <w:rsid w:val="00BF5E54"/>
    <w:rsid w:val="00BF60B2"/>
    <w:rsid w:val="00BF6240"/>
    <w:rsid w:val="00BF6478"/>
    <w:rsid w:val="00BF6545"/>
    <w:rsid w:val="00BF65F0"/>
    <w:rsid w:val="00BF6C09"/>
    <w:rsid w:val="00BF731B"/>
    <w:rsid w:val="00BF7635"/>
    <w:rsid w:val="00BF7D90"/>
    <w:rsid w:val="00BF7FFC"/>
    <w:rsid w:val="00C003DD"/>
    <w:rsid w:val="00C00430"/>
    <w:rsid w:val="00C00875"/>
    <w:rsid w:val="00C00928"/>
    <w:rsid w:val="00C009F8"/>
    <w:rsid w:val="00C00A33"/>
    <w:rsid w:val="00C00CED"/>
    <w:rsid w:val="00C01B0E"/>
    <w:rsid w:val="00C01EDD"/>
    <w:rsid w:val="00C025A6"/>
    <w:rsid w:val="00C02A7E"/>
    <w:rsid w:val="00C02E93"/>
    <w:rsid w:val="00C02EA5"/>
    <w:rsid w:val="00C02FCB"/>
    <w:rsid w:val="00C03488"/>
    <w:rsid w:val="00C03A5D"/>
    <w:rsid w:val="00C03DD0"/>
    <w:rsid w:val="00C042B3"/>
    <w:rsid w:val="00C04747"/>
    <w:rsid w:val="00C05301"/>
    <w:rsid w:val="00C058EB"/>
    <w:rsid w:val="00C05C98"/>
    <w:rsid w:val="00C05E06"/>
    <w:rsid w:val="00C05FF1"/>
    <w:rsid w:val="00C06F94"/>
    <w:rsid w:val="00C070B1"/>
    <w:rsid w:val="00C07E6C"/>
    <w:rsid w:val="00C100D1"/>
    <w:rsid w:val="00C103E3"/>
    <w:rsid w:val="00C105AA"/>
    <w:rsid w:val="00C10883"/>
    <w:rsid w:val="00C10BB3"/>
    <w:rsid w:val="00C116E7"/>
    <w:rsid w:val="00C11789"/>
    <w:rsid w:val="00C11B69"/>
    <w:rsid w:val="00C125FD"/>
    <w:rsid w:val="00C129F1"/>
    <w:rsid w:val="00C137DF"/>
    <w:rsid w:val="00C13D56"/>
    <w:rsid w:val="00C147A2"/>
    <w:rsid w:val="00C14BB9"/>
    <w:rsid w:val="00C150A3"/>
    <w:rsid w:val="00C155F4"/>
    <w:rsid w:val="00C157AA"/>
    <w:rsid w:val="00C15D16"/>
    <w:rsid w:val="00C17227"/>
    <w:rsid w:val="00C204B6"/>
    <w:rsid w:val="00C20F64"/>
    <w:rsid w:val="00C2160E"/>
    <w:rsid w:val="00C21AD2"/>
    <w:rsid w:val="00C21D81"/>
    <w:rsid w:val="00C2202E"/>
    <w:rsid w:val="00C22553"/>
    <w:rsid w:val="00C22FA2"/>
    <w:rsid w:val="00C232C7"/>
    <w:rsid w:val="00C233FA"/>
    <w:rsid w:val="00C23711"/>
    <w:rsid w:val="00C237B7"/>
    <w:rsid w:val="00C24203"/>
    <w:rsid w:val="00C24360"/>
    <w:rsid w:val="00C25867"/>
    <w:rsid w:val="00C267AB"/>
    <w:rsid w:val="00C267BE"/>
    <w:rsid w:val="00C2684C"/>
    <w:rsid w:val="00C26909"/>
    <w:rsid w:val="00C270ED"/>
    <w:rsid w:val="00C27127"/>
    <w:rsid w:val="00C27429"/>
    <w:rsid w:val="00C2742F"/>
    <w:rsid w:val="00C27796"/>
    <w:rsid w:val="00C27D97"/>
    <w:rsid w:val="00C27FC4"/>
    <w:rsid w:val="00C3014A"/>
    <w:rsid w:val="00C306F3"/>
    <w:rsid w:val="00C318A3"/>
    <w:rsid w:val="00C325DB"/>
    <w:rsid w:val="00C325EF"/>
    <w:rsid w:val="00C32814"/>
    <w:rsid w:val="00C32AD2"/>
    <w:rsid w:val="00C32D29"/>
    <w:rsid w:val="00C331BD"/>
    <w:rsid w:val="00C3359E"/>
    <w:rsid w:val="00C33803"/>
    <w:rsid w:val="00C33853"/>
    <w:rsid w:val="00C33D57"/>
    <w:rsid w:val="00C33E30"/>
    <w:rsid w:val="00C34776"/>
    <w:rsid w:val="00C3483F"/>
    <w:rsid w:val="00C35276"/>
    <w:rsid w:val="00C3542F"/>
    <w:rsid w:val="00C3568B"/>
    <w:rsid w:val="00C3636B"/>
    <w:rsid w:val="00C3672F"/>
    <w:rsid w:val="00C36984"/>
    <w:rsid w:val="00C36A25"/>
    <w:rsid w:val="00C36D98"/>
    <w:rsid w:val="00C3718E"/>
    <w:rsid w:val="00C37394"/>
    <w:rsid w:val="00C4040A"/>
    <w:rsid w:val="00C415C4"/>
    <w:rsid w:val="00C41F21"/>
    <w:rsid w:val="00C42385"/>
    <w:rsid w:val="00C42553"/>
    <w:rsid w:val="00C4256B"/>
    <w:rsid w:val="00C42C18"/>
    <w:rsid w:val="00C432DC"/>
    <w:rsid w:val="00C434A4"/>
    <w:rsid w:val="00C4366C"/>
    <w:rsid w:val="00C44346"/>
    <w:rsid w:val="00C443FD"/>
    <w:rsid w:val="00C44427"/>
    <w:rsid w:val="00C446F8"/>
    <w:rsid w:val="00C4476E"/>
    <w:rsid w:val="00C44951"/>
    <w:rsid w:val="00C44D04"/>
    <w:rsid w:val="00C454F1"/>
    <w:rsid w:val="00C45844"/>
    <w:rsid w:val="00C45ABA"/>
    <w:rsid w:val="00C45CC7"/>
    <w:rsid w:val="00C45FC2"/>
    <w:rsid w:val="00C46513"/>
    <w:rsid w:val="00C46880"/>
    <w:rsid w:val="00C46AC1"/>
    <w:rsid w:val="00C46BD0"/>
    <w:rsid w:val="00C475FF"/>
    <w:rsid w:val="00C47693"/>
    <w:rsid w:val="00C478A2"/>
    <w:rsid w:val="00C47A31"/>
    <w:rsid w:val="00C47ABD"/>
    <w:rsid w:val="00C47B39"/>
    <w:rsid w:val="00C47F57"/>
    <w:rsid w:val="00C47F66"/>
    <w:rsid w:val="00C5002E"/>
    <w:rsid w:val="00C50B66"/>
    <w:rsid w:val="00C50ED8"/>
    <w:rsid w:val="00C51743"/>
    <w:rsid w:val="00C51AA5"/>
    <w:rsid w:val="00C51B55"/>
    <w:rsid w:val="00C5207A"/>
    <w:rsid w:val="00C523EA"/>
    <w:rsid w:val="00C5291F"/>
    <w:rsid w:val="00C52BC4"/>
    <w:rsid w:val="00C53533"/>
    <w:rsid w:val="00C53764"/>
    <w:rsid w:val="00C53F7A"/>
    <w:rsid w:val="00C54435"/>
    <w:rsid w:val="00C54FE4"/>
    <w:rsid w:val="00C5541D"/>
    <w:rsid w:val="00C5545D"/>
    <w:rsid w:val="00C55612"/>
    <w:rsid w:val="00C55EEC"/>
    <w:rsid w:val="00C5699F"/>
    <w:rsid w:val="00C5701B"/>
    <w:rsid w:val="00C574E6"/>
    <w:rsid w:val="00C57A89"/>
    <w:rsid w:val="00C57DCE"/>
    <w:rsid w:val="00C57E14"/>
    <w:rsid w:val="00C57EA4"/>
    <w:rsid w:val="00C607C1"/>
    <w:rsid w:val="00C612FC"/>
    <w:rsid w:val="00C6132B"/>
    <w:rsid w:val="00C61476"/>
    <w:rsid w:val="00C61A30"/>
    <w:rsid w:val="00C61ABB"/>
    <w:rsid w:val="00C61D88"/>
    <w:rsid w:val="00C6221E"/>
    <w:rsid w:val="00C62305"/>
    <w:rsid w:val="00C62768"/>
    <w:rsid w:val="00C6281C"/>
    <w:rsid w:val="00C62C37"/>
    <w:rsid w:val="00C62FD8"/>
    <w:rsid w:val="00C63013"/>
    <w:rsid w:val="00C6328D"/>
    <w:rsid w:val="00C6366F"/>
    <w:rsid w:val="00C63916"/>
    <w:rsid w:val="00C63BBF"/>
    <w:rsid w:val="00C63C5E"/>
    <w:rsid w:val="00C645CA"/>
    <w:rsid w:val="00C648E6"/>
    <w:rsid w:val="00C64CC8"/>
    <w:rsid w:val="00C64CFD"/>
    <w:rsid w:val="00C655E5"/>
    <w:rsid w:val="00C66794"/>
    <w:rsid w:val="00C66823"/>
    <w:rsid w:val="00C67520"/>
    <w:rsid w:val="00C67CAB"/>
    <w:rsid w:val="00C67E3B"/>
    <w:rsid w:val="00C67F61"/>
    <w:rsid w:val="00C7019C"/>
    <w:rsid w:val="00C705CA"/>
    <w:rsid w:val="00C706E5"/>
    <w:rsid w:val="00C707CB"/>
    <w:rsid w:val="00C711AA"/>
    <w:rsid w:val="00C71C0E"/>
    <w:rsid w:val="00C71CEC"/>
    <w:rsid w:val="00C71EB3"/>
    <w:rsid w:val="00C72016"/>
    <w:rsid w:val="00C728C9"/>
    <w:rsid w:val="00C72B88"/>
    <w:rsid w:val="00C72BBA"/>
    <w:rsid w:val="00C73064"/>
    <w:rsid w:val="00C7307B"/>
    <w:rsid w:val="00C730FA"/>
    <w:rsid w:val="00C73967"/>
    <w:rsid w:val="00C73C78"/>
    <w:rsid w:val="00C73CED"/>
    <w:rsid w:val="00C73DE4"/>
    <w:rsid w:val="00C7459F"/>
    <w:rsid w:val="00C7476B"/>
    <w:rsid w:val="00C74EF7"/>
    <w:rsid w:val="00C7528B"/>
    <w:rsid w:val="00C752C1"/>
    <w:rsid w:val="00C754ED"/>
    <w:rsid w:val="00C75793"/>
    <w:rsid w:val="00C75D73"/>
    <w:rsid w:val="00C768B1"/>
    <w:rsid w:val="00C76B99"/>
    <w:rsid w:val="00C777F9"/>
    <w:rsid w:val="00C77DC9"/>
    <w:rsid w:val="00C8046A"/>
    <w:rsid w:val="00C80CE3"/>
    <w:rsid w:val="00C81356"/>
    <w:rsid w:val="00C81398"/>
    <w:rsid w:val="00C82131"/>
    <w:rsid w:val="00C83765"/>
    <w:rsid w:val="00C837AC"/>
    <w:rsid w:val="00C83BC9"/>
    <w:rsid w:val="00C841B5"/>
    <w:rsid w:val="00C8427D"/>
    <w:rsid w:val="00C84A9E"/>
    <w:rsid w:val="00C84F7A"/>
    <w:rsid w:val="00C852F6"/>
    <w:rsid w:val="00C8547F"/>
    <w:rsid w:val="00C85E72"/>
    <w:rsid w:val="00C8619B"/>
    <w:rsid w:val="00C8622C"/>
    <w:rsid w:val="00C863E2"/>
    <w:rsid w:val="00C86805"/>
    <w:rsid w:val="00C86B09"/>
    <w:rsid w:val="00C87136"/>
    <w:rsid w:val="00C87B1C"/>
    <w:rsid w:val="00C87D93"/>
    <w:rsid w:val="00C9053C"/>
    <w:rsid w:val="00C91850"/>
    <w:rsid w:val="00C91D60"/>
    <w:rsid w:val="00C922D3"/>
    <w:rsid w:val="00C92800"/>
    <w:rsid w:val="00C92E7B"/>
    <w:rsid w:val="00C92F5A"/>
    <w:rsid w:val="00C93025"/>
    <w:rsid w:val="00C93849"/>
    <w:rsid w:val="00C94262"/>
    <w:rsid w:val="00C943EB"/>
    <w:rsid w:val="00C9459F"/>
    <w:rsid w:val="00C9481F"/>
    <w:rsid w:val="00C9491E"/>
    <w:rsid w:val="00C94B51"/>
    <w:rsid w:val="00C975AD"/>
    <w:rsid w:val="00CA0519"/>
    <w:rsid w:val="00CA0B00"/>
    <w:rsid w:val="00CA0B93"/>
    <w:rsid w:val="00CA123A"/>
    <w:rsid w:val="00CA12B1"/>
    <w:rsid w:val="00CA1506"/>
    <w:rsid w:val="00CA20B1"/>
    <w:rsid w:val="00CA2327"/>
    <w:rsid w:val="00CA25F1"/>
    <w:rsid w:val="00CA2662"/>
    <w:rsid w:val="00CA26C1"/>
    <w:rsid w:val="00CA2918"/>
    <w:rsid w:val="00CA2C16"/>
    <w:rsid w:val="00CA2C44"/>
    <w:rsid w:val="00CA2C7D"/>
    <w:rsid w:val="00CA2E03"/>
    <w:rsid w:val="00CA3485"/>
    <w:rsid w:val="00CA3D4B"/>
    <w:rsid w:val="00CA3EE9"/>
    <w:rsid w:val="00CA497C"/>
    <w:rsid w:val="00CA611A"/>
    <w:rsid w:val="00CA6388"/>
    <w:rsid w:val="00CA6865"/>
    <w:rsid w:val="00CA6DAF"/>
    <w:rsid w:val="00CA6EEB"/>
    <w:rsid w:val="00CA6F92"/>
    <w:rsid w:val="00CA709E"/>
    <w:rsid w:val="00CA7D86"/>
    <w:rsid w:val="00CA7F7C"/>
    <w:rsid w:val="00CB0713"/>
    <w:rsid w:val="00CB0860"/>
    <w:rsid w:val="00CB1196"/>
    <w:rsid w:val="00CB11CD"/>
    <w:rsid w:val="00CB16AB"/>
    <w:rsid w:val="00CB1DB5"/>
    <w:rsid w:val="00CB27A4"/>
    <w:rsid w:val="00CB2B8C"/>
    <w:rsid w:val="00CB309E"/>
    <w:rsid w:val="00CB3561"/>
    <w:rsid w:val="00CB35E0"/>
    <w:rsid w:val="00CB3B91"/>
    <w:rsid w:val="00CB4837"/>
    <w:rsid w:val="00CB4F2A"/>
    <w:rsid w:val="00CB5A17"/>
    <w:rsid w:val="00CB5C92"/>
    <w:rsid w:val="00CB6066"/>
    <w:rsid w:val="00CB60AE"/>
    <w:rsid w:val="00CB6187"/>
    <w:rsid w:val="00CB6204"/>
    <w:rsid w:val="00CB64E2"/>
    <w:rsid w:val="00CB64EA"/>
    <w:rsid w:val="00CB667A"/>
    <w:rsid w:val="00CB6D6E"/>
    <w:rsid w:val="00CB74EF"/>
    <w:rsid w:val="00CB75C6"/>
    <w:rsid w:val="00CB7836"/>
    <w:rsid w:val="00CB7B2B"/>
    <w:rsid w:val="00CB7CA0"/>
    <w:rsid w:val="00CC02C0"/>
    <w:rsid w:val="00CC09D2"/>
    <w:rsid w:val="00CC0AE8"/>
    <w:rsid w:val="00CC0C7F"/>
    <w:rsid w:val="00CC0D86"/>
    <w:rsid w:val="00CC0E2B"/>
    <w:rsid w:val="00CC164C"/>
    <w:rsid w:val="00CC1980"/>
    <w:rsid w:val="00CC1AA8"/>
    <w:rsid w:val="00CC2CB7"/>
    <w:rsid w:val="00CC2F18"/>
    <w:rsid w:val="00CC34B1"/>
    <w:rsid w:val="00CC3847"/>
    <w:rsid w:val="00CC38B9"/>
    <w:rsid w:val="00CC3E7F"/>
    <w:rsid w:val="00CC3E8B"/>
    <w:rsid w:val="00CC42A7"/>
    <w:rsid w:val="00CC4803"/>
    <w:rsid w:val="00CC4B41"/>
    <w:rsid w:val="00CC51A0"/>
    <w:rsid w:val="00CC548D"/>
    <w:rsid w:val="00CC550C"/>
    <w:rsid w:val="00CC57EA"/>
    <w:rsid w:val="00CC5C10"/>
    <w:rsid w:val="00CC685F"/>
    <w:rsid w:val="00CC6AAB"/>
    <w:rsid w:val="00CC6CCF"/>
    <w:rsid w:val="00CC7771"/>
    <w:rsid w:val="00CC783D"/>
    <w:rsid w:val="00CC7E1F"/>
    <w:rsid w:val="00CC7EAC"/>
    <w:rsid w:val="00CD00DE"/>
    <w:rsid w:val="00CD0E59"/>
    <w:rsid w:val="00CD1789"/>
    <w:rsid w:val="00CD216E"/>
    <w:rsid w:val="00CD2188"/>
    <w:rsid w:val="00CD2F4A"/>
    <w:rsid w:val="00CD3190"/>
    <w:rsid w:val="00CD319E"/>
    <w:rsid w:val="00CD379B"/>
    <w:rsid w:val="00CD37BF"/>
    <w:rsid w:val="00CD3AF1"/>
    <w:rsid w:val="00CD4E47"/>
    <w:rsid w:val="00CD4EBB"/>
    <w:rsid w:val="00CD52B1"/>
    <w:rsid w:val="00CD5715"/>
    <w:rsid w:val="00CD5CC9"/>
    <w:rsid w:val="00CD5E6A"/>
    <w:rsid w:val="00CD5F32"/>
    <w:rsid w:val="00CD5F61"/>
    <w:rsid w:val="00CD6408"/>
    <w:rsid w:val="00CD64C2"/>
    <w:rsid w:val="00CD64E0"/>
    <w:rsid w:val="00CD6796"/>
    <w:rsid w:val="00CD7932"/>
    <w:rsid w:val="00CD7F97"/>
    <w:rsid w:val="00CE048D"/>
    <w:rsid w:val="00CE0868"/>
    <w:rsid w:val="00CE0BFE"/>
    <w:rsid w:val="00CE0C57"/>
    <w:rsid w:val="00CE0D72"/>
    <w:rsid w:val="00CE0F7B"/>
    <w:rsid w:val="00CE1669"/>
    <w:rsid w:val="00CE1A0E"/>
    <w:rsid w:val="00CE20B3"/>
    <w:rsid w:val="00CE21A9"/>
    <w:rsid w:val="00CE21CC"/>
    <w:rsid w:val="00CE3195"/>
    <w:rsid w:val="00CE35E1"/>
    <w:rsid w:val="00CE4696"/>
    <w:rsid w:val="00CE47C9"/>
    <w:rsid w:val="00CE5B86"/>
    <w:rsid w:val="00CE62AA"/>
    <w:rsid w:val="00CE6A09"/>
    <w:rsid w:val="00CE6A11"/>
    <w:rsid w:val="00CE783C"/>
    <w:rsid w:val="00CE79A2"/>
    <w:rsid w:val="00CE7FBA"/>
    <w:rsid w:val="00CF09CC"/>
    <w:rsid w:val="00CF0F23"/>
    <w:rsid w:val="00CF123C"/>
    <w:rsid w:val="00CF18CF"/>
    <w:rsid w:val="00CF23B8"/>
    <w:rsid w:val="00CF2AD1"/>
    <w:rsid w:val="00CF427B"/>
    <w:rsid w:val="00CF44A7"/>
    <w:rsid w:val="00CF4CCC"/>
    <w:rsid w:val="00CF5087"/>
    <w:rsid w:val="00CF612A"/>
    <w:rsid w:val="00CF6908"/>
    <w:rsid w:val="00CF71EB"/>
    <w:rsid w:val="00CF7408"/>
    <w:rsid w:val="00CF780C"/>
    <w:rsid w:val="00CF7F4F"/>
    <w:rsid w:val="00D0037C"/>
    <w:rsid w:val="00D00DF8"/>
    <w:rsid w:val="00D01AE0"/>
    <w:rsid w:val="00D01B25"/>
    <w:rsid w:val="00D01D69"/>
    <w:rsid w:val="00D01DE2"/>
    <w:rsid w:val="00D02278"/>
    <w:rsid w:val="00D02455"/>
    <w:rsid w:val="00D025BC"/>
    <w:rsid w:val="00D026FC"/>
    <w:rsid w:val="00D02940"/>
    <w:rsid w:val="00D02ECE"/>
    <w:rsid w:val="00D02ED4"/>
    <w:rsid w:val="00D03139"/>
    <w:rsid w:val="00D033C6"/>
    <w:rsid w:val="00D03B3F"/>
    <w:rsid w:val="00D03B80"/>
    <w:rsid w:val="00D0455D"/>
    <w:rsid w:val="00D04570"/>
    <w:rsid w:val="00D0471C"/>
    <w:rsid w:val="00D047A9"/>
    <w:rsid w:val="00D0489F"/>
    <w:rsid w:val="00D049A1"/>
    <w:rsid w:val="00D04A06"/>
    <w:rsid w:val="00D04B55"/>
    <w:rsid w:val="00D05E26"/>
    <w:rsid w:val="00D06993"/>
    <w:rsid w:val="00D06A30"/>
    <w:rsid w:val="00D0700C"/>
    <w:rsid w:val="00D0704E"/>
    <w:rsid w:val="00D072CF"/>
    <w:rsid w:val="00D072F9"/>
    <w:rsid w:val="00D07786"/>
    <w:rsid w:val="00D07CE5"/>
    <w:rsid w:val="00D10001"/>
    <w:rsid w:val="00D10516"/>
    <w:rsid w:val="00D106BE"/>
    <w:rsid w:val="00D1072A"/>
    <w:rsid w:val="00D107F6"/>
    <w:rsid w:val="00D10AEE"/>
    <w:rsid w:val="00D10C9A"/>
    <w:rsid w:val="00D11539"/>
    <w:rsid w:val="00D11559"/>
    <w:rsid w:val="00D115E5"/>
    <w:rsid w:val="00D11970"/>
    <w:rsid w:val="00D11AF9"/>
    <w:rsid w:val="00D1220F"/>
    <w:rsid w:val="00D132D8"/>
    <w:rsid w:val="00D13EFA"/>
    <w:rsid w:val="00D1448D"/>
    <w:rsid w:val="00D15599"/>
    <w:rsid w:val="00D16E88"/>
    <w:rsid w:val="00D17AFF"/>
    <w:rsid w:val="00D17D2C"/>
    <w:rsid w:val="00D20190"/>
    <w:rsid w:val="00D20DD2"/>
    <w:rsid w:val="00D21335"/>
    <w:rsid w:val="00D21346"/>
    <w:rsid w:val="00D21A71"/>
    <w:rsid w:val="00D21B7F"/>
    <w:rsid w:val="00D21DFF"/>
    <w:rsid w:val="00D22F8B"/>
    <w:rsid w:val="00D235E1"/>
    <w:rsid w:val="00D23A76"/>
    <w:rsid w:val="00D23A84"/>
    <w:rsid w:val="00D23BA9"/>
    <w:rsid w:val="00D24617"/>
    <w:rsid w:val="00D247C6"/>
    <w:rsid w:val="00D24E43"/>
    <w:rsid w:val="00D253D3"/>
    <w:rsid w:val="00D254F1"/>
    <w:rsid w:val="00D25728"/>
    <w:rsid w:val="00D26788"/>
    <w:rsid w:val="00D26FDB"/>
    <w:rsid w:val="00D279B4"/>
    <w:rsid w:val="00D305E8"/>
    <w:rsid w:val="00D30722"/>
    <w:rsid w:val="00D30CFB"/>
    <w:rsid w:val="00D30EA0"/>
    <w:rsid w:val="00D31517"/>
    <w:rsid w:val="00D31D82"/>
    <w:rsid w:val="00D326BE"/>
    <w:rsid w:val="00D3389F"/>
    <w:rsid w:val="00D33A50"/>
    <w:rsid w:val="00D33ABC"/>
    <w:rsid w:val="00D33F6F"/>
    <w:rsid w:val="00D34128"/>
    <w:rsid w:val="00D34AFD"/>
    <w:rsid w:val="00D34BC0"/>
    <w:rsid w:val="00D34DEA"/>
    <w:rsid w:val="00D350C8"/>
    <w:rsid w:val="00D35461"/>
    <w:rsid w:val="00D3570F"/>
    <w:rsid w:val="00D35D97"/>
    <w:rsid w:val="00D35ED0"/>
    <w:rsid w:val="00D35EDC"/>
    <w:rsid w:val="00D365EF"/>
    <w:rsid w:val="00D36F8D"/>
    <w:rsid w:val="00D37458"/>
    <w:rsid w:val="00D37642"/>
    <w:rsid w:val="00D379B6"/>
    <w:rsid w:val="00D37BD8"/>
    <w:rsid w:val="00D40CAD"/>
    <w:rsid w:val="00D411CB"/>
    <w:rsid w:val="00D41D8D"/>
    <w:rsid w:val="00D42128"/>
    <w:rsid w:val="00D42D6D"/>
    <w:rsid w:val="00D43377"/>
    <w:rsid w:val="00D43642"/>
    <w:rsid w:val="00D43C22"/>
    <w:rsid w:val="00D44821"/>
    <w:rsid w:val="00D44D6C"/>
    <w:rsid w:val="00D45355"/>
    <w:rsid w:val="00D458F3"/>
    <w:rsid w:val="00D45C6F"/>
    <w:rsid w:val="00D45CAE"/>
    <w:rsid w:val="00D461AA"/>
    <w:rsid w:val="00D463EC"/>
    <w:rsid w:val="00D464D2"/>
    <w:rsid w:val="00D467BE"/>
    <w:rsid w:val="00D47384"/>
    <w:rsid w:val="00D475B6"/>
    <w:rsid w:val="00D5041B"/>
    <w:rsid w:val="00D5091A"/>
    <w:rsid w:val="00D50959"/>
    <w:rsid w:val="00D517A7"/>
    <w:rsid w:val="00D522CE"/>
    <w:rsid w:val="00D53383"/>
    <w:rsid w:val="00D5353B"/>
    <w:rsid w:val="00D54202"/>
    <w:rsid w:val="00D549EC"/>
    <w:rsid w:val="00D55E32"/>
    <w:rsid w:val="00D55ED4"/>
    <w:rsid w:val="00D57124"/>
    <w:rsid w:val="00D57D64"/>
    <w:rsid w:val="00D6008A"/>
    <w:rsid w:val="00D60494"/>
    <w:rsid w:val="00D60813"/>
    <w:rsid w:val="00D60923"/>
    <w:rsid w:val="00D612F7"/>
    <w:rsid w:val="00D6155A"/>
    <w:rsid w:val="00D615EA"/>
    <w:rsid w:val="00D61B37"/>
    <w:rsid w:val="00D61BA3"/>
    <w:rsid w:val="00D6278C"/>
    <w:rsid w:val="00D62812"/>
    <w:rsid w:val="00D6394C"/>
    <w:rsid w:val="00D63994"/>
    <w:rsid w:val="00D639EF"/>
    <w:rsid w:val="00D63B53"/>
    <w:rsid w:val="00D63E2C"/>
    <w:rsid w:val="00D64857"/>
    <w:rsid w:val="00D65209"/>
    <w:rsid w:val="00D6541E"/>
    <w:rsid w:val="00D6548E"/>
    <w:rsid w:val="00D65B51"/>
    <w:rsid w:val="00D65BBB"/>
    <w:rsid w:val="00D665E0"/>
    <w:rsid w:val="00D6751F"/>
    <w:rsid w:val="00D675B4"/>
    <w:rsid w:val="00D67A06"/>
    <w:rsid w:val="00D67A38"/>
    <w:rsid w:val="00D700F7"/>
    <w:rsid w:val="00D70298"/>
    <w:rsid w:val="00D70649"/>
    <w:rsid w:val="00D709C1"/>
    <w:rsid w:val="00D7196E"/>
    <w:rsid w:val="00D7213B"/>
    <w:rsid w:val="00D72226"/>
    <w:rsid w:val="00D72361"/>
    <w:rsid w:val="00D730F8"/>
    <w:rsid w:val="00D732CE"/>
    <w:rsid w:val="00D738AE"/>
    <w:rsid w:val="00D73F9A"/>
    <w:rsid w:val="00D740AF"/>
    <w:rsid w:val="00D7442E"/>
    <w:rsid w:val="00D74598"/>
    <w:rsid w:val="00D749B5"/>
    <w:rsid w:val="00D75445"/>
    <w:rsid w:val="00D754B8"/>
    <w:rsid w:val="00D76703"/>
    <w:rsid w:val="00D76CB5"/>
    <w:rsid w:val="00D77267"/>
    <w:rsid w:val="00D77315"/>
    <w:rsid w:val="00D77682"/>
    <w:rsid w:val="00D77727"/>
    <w:rsid w:val="00D77DB5"/>
    <w:rsid w:val="00D80938"/>
    <w:rsid w:val="00D81B09"/>
    <w:rsid w:val="00D82223"/>
    <w:rsid w:val="00D82BF5"/>
    <w:rsid w:val="00D83008"/>
    <w:rsid w:val="00D8368C"/>
    <w:rsid w:val="00D845C0"/>
    <w:rsid w:val="00D8496F"/>
    <w:rsid w:val="00D84AE5"/>
    <w:rsid w:val="00D84D50"/>
    <w:rsid w:val="00D8567A"/>
    <w:rsid w:val="00D859F9"/>
    <w:rsid w:val="00D86014"/>
    <w:rsid w:val="00D86451"/>
    <w:rsid w:val="00D86B55"/>
    <w:rsid w:val="00D86BFF"/>
    <w:rsid w:val="00D87550"/>
    <w:rsid w:val="00D904CF"/>
    <w:rsid w:val="00D90B56"/>
    <w:rsid w:val="00D91160"/>
    <w:rsid w:val="00D918E3"/>
    <w:rsid w:val="00D91918"/>
    <w:rsid w:val="00D91AAE"/>
    <w:rsid w:val="00D92942"/>
    <w:rsid w:val="00D92AB1"/>
    <w:rsid w:val="00D92C43"/>
    <w:rsid w:val="00D92D6B"/>
    <w:rsid w:val="00D92E61"/>
    <w:rsid w:val="00D939EF"/>
    <w:rsid w:val="00D93ECB"/>
    <w:rsid w:val="00D946D1"/>
    <w:rsid w:val="00D94EBF"/>
    <w:rsid w:val="00D955AD"/>
    <w:rsid w:val="00D95E25"/>
    <w:rsid w:val="00D97946"/>
    <w:rsid w:val="00D97B7D"/>
    <w:rsid w:val="00D97F8F"/>
    <w:rsid w:val="00DA0162"/>
    <w:rsid w:val="00DA0179"/>
    <w:rsid w:val="00DA02B8"/>
    <w:rsid w:val="00DA0681"/>
    <w:rsid w:val="00DA06F1"/>
    <w:rsid w:val="00DA09D8"/>
    <w:rsid w:val="00DA1AE7"/>
    <w:rsid w:val="00DA1CE1"/>
    <w:rsid w:val="00DA1F90"/>
    <w:rsid w:val="00DA24D5"/>
    <w:rsid w:val="00DA2F5C"/>
    <w:rsid w:val="00DA31DD"/>
    <w:rsid w:val="00DA31E1"/>
    <w:rsid w:val="00DA31EC"/>
    <w:rsid w:val="00DA32C7"/>
    <w:rsid w:val="00DA33A3"/>
    <w:rsid w:val="00DA3CA6"/>
    <w:rsid w:val="00DA410E"/>
    <w:rsid w:val="00DA4ACE"/>
    <w:rsid w:val="00DA5C25"/>
    <w:rsid w:val="00DA60AF"/>
    <w:rsid w:val="00DA619D"/>
    <w:rsid w:val="00DA685D"/>
    <w:rsid w:val="00DA6A8E"/>
    <w:rsid w:val="00DA6C53"/>
    <w:rsid w:val="00DA6F45"/>
    <w:rsid w:val="00DA7AB3"/>
    <w:rsid w:val="00DA7B61"/>
    <w:rsid w:val="00DB018E"/>
    <w:rsid w:val="00DB0317"/>
    <w:rsid w:val="00DB0554"/>
    <w:rsid w:val="00DB0B33"/>
    <w:rsid w:val="00DB0C38"/>
    <w:rsid w:val="00DB0D8F"/>
    <w:rsid w:val="00DB15BF"/>
    <w:rsid w:val="00DB1FBB"/>
    <w:rsid w:val="00DB4FD5"/>
    <w:rsid w:val="00DB5522"/>
    <w:rsid w:val="00DB5664"/>
    <w:rsid w:val="00DB5DCC"/>
    <w:rsid w:val="00DB6739"/>
    <w:rsid w:val="00DB6890"/>
    <w:rsid w:val="00DB68E0"/>
    <w:rsid w:val="00DB6BB3"/>
    <w:rsid w:val="00DB7033"/>
    <w:rsid w:val="00DB7EBB"/>
    <w:rsid w:val="00DB7F84"/>
    <w:rsid w:val="00DC0053"/>
    <w:rsid w:val="00DC019D"/>
    <w:rsid w:val="00DC0614"/>
    <w:rsid w:val="00DC098C"/>
    <w:rsid w:val="00DC0997"/>
    <w:rsid w:val="00DC0B05"/>
    <w:rsid w:val="00DC0E01"/>
    <w:rsid w:val="00DC1489"/>
    <w:rsid w:val="00DC1995"/>
    <w:rsid w:val="00DC20B4"/>
    <w:rsid w:val="00DC2411"/>
    <w:rsid w:val="00DC2573"/>
    <w:rsid w:val="00DC29D6"/>
    <w:rsid w:val="00DC2B83"/>
    <w:rsid w:val="00DC353A"/>
    <w:rsid w:val="00DC397B"/>
    <w:rsid w:val="00DC449B"/>
    <w:rsid w:val="00DC4ACA"/>
    <w:rsid w:val="00DC5187"/>
    <w:rsid w:val="00DC64D7"/>
    <w:rsid w:val="00DC684B"/>
    <w:rsid w:val="00DC68E1"/>
    <w:rsid w:val="00DC6925"/>
    <w:rsid w:val="00DC7645"/>
    <w:rsid w:val="00DC7726"/>
    <w:rsid w:val="00DD0688"/>
    <w:rsid w:val="00DD0E7D"/>
    <w:rsid w:val="00DD20ED"/>
    <w:rsid w:val="00DD21B2"/>
    <w:rsid w:val="00DD27E6"/>
    <w:rsid w:val="00DD29CB"/>
    <w:rsid w:val="00DD42E0"/>
    <w:rsid w:val="00DD4313"/>
    <w:rsid w:val="00DD44A5"/>
    <w:rsid w:val="00DD47CB"/>
    <w:rsid w:val="00DD4BD6"/>
    <w:rsid w:val="00DD4DB6"/>
    <w:rsid w:val="00DD5EBD"/>
    <w:rsid w:val="00DD607B"/>
    <w:rsid w:val="00DD61A5"/>
    <w:rsid w:val="00DD657D"/>
    <w:rsid w:val="00DD6E7B"/>
    <w:rsid w:val="00DD70B0"/>
    <w:rsid w:val="00DD70FB"/>
    <w:rsid w:val="00DE01B5"/>
    <w:rsid w:val="00DE0E01"/>
    <w:rsid w:val="00DE135A"/>
    <w:rsid w:val="00DE1437"/>
    <w:rsid w:val="00DE1774"/>
    <w:rsid w:val="00DE1980"/>
    <w:rsid w:val="00DE2126"/>
    <w:rsid w:val="00DE21E3"/>
    <w:rsid w:val="00DE23EA"/>
    <w:rsid w:val="00DE24D1"/>
    <w:rsid w:val="00DE2689"/>
    <w:rsid w:val="00DE288F"/>
    <w:rsid w:val="00DE2B22"/>
    <w:rsid w:val="00DE4C67"/>
    <w:rsid w:val="00DE4E7F"/>
    <w:rsid w:val="00DE4EEC"/>
    <w:rsid w:val="00DE5129"/>
    <w:rsid w:val="00DE523D"/>
    <w:rsid w:val="00DE6256"/>
    <w:rsid w:val="00DE6827"/>
    <w:rsid w:val="00DE6AC5"/>
    <w:rsid w:val="00DE6D21"/>
    <w:rsid w:val="00DE6D63"/>
    <w:rsid w:val="00DF01DE"/>
    <w:rsid w:val="00DF0470"/>
    <w:rsid w:val="00DF05DD"/>
    <w:rsid w:val="00DF06EB"/>
    <w:rsid w:val="00DF07AD"/>
    <w:rsid w:val="00DF0B77"/>
    <w:rsid w:val="00DF136B"/>
    <w:rsid w:val="00DF20E5"/>
    <w:rsid w:val="00DF2555"/>
    <w:rsid w:val="00DF3322"/>
    <w:rsid w:val="00DF52C3"/>
    <w:rsid w:val="00DF558A"/>
    <w:rsid w:val="00DF5690"/>
    <w:rsid w:val="00DF6723"/>
    <w:rsid w:val="00DF685F"/>
    <w:rsid w:val="00DF6A69"/>
    <w:rsid w:val="00DF6BBE"/>
    <w:rsid w:val="00DF6FDF"/>
    <w:rsid w:val="00DF718D"/>
    <w:rsid w:val="00DF71A2"/>
    <w:rsid w:val="00DF7373"/>
    <w:rsid w:val="00DF7B63"/>
    <w:rsid w:val="00DF7F49"/>
    <w:rsid w:val="00E00889"/>
    <w:rsid w:val="00E00D84"/>
    <w:rsid w:val="00E00FAD"/>
    <w:rsid w:val="00E0116C"/>
    <w:rsid w:val="00E011EB"/>
    <w:rsid w:val="00E01CFB"/>
    <w:rsid w:val="00E01D53"/>
    <w:rsid w:val="00E02448"/>
    <w:rsid w:val="00E02757"/>
    <w:rsid w:val="00E0278D"/>
    <w:rsid w:val="00E028F3"/>
    <w:rsid w:val="00E02A4E"/>
    <w:rsid w:val="00E02B7E"/>
    <w:rsid w:val="00E02E9F"/>
    <w:rsid w:val="00E03891"/>
    <w:rsid w:val="00E040DA"/>
    <w:rsid w:val="00E045BE"/>
    <w:rsid w:val="00E04720"/>
    <w:rsid w:val="00E04FC7"/>
    <w:rsid w:val="00E0568E"/>
    <w:rsid w:val="00E05848"/>
    <w:rsid w:val="00E05C31"/>
    <w:rsid w:val="00E0698C"/>
    <w:rsid w:val="00E070B0"/>
    <w:rsid w:val="00E07293"/>
    <w:rsid w:val="00E0743B"/>
    <w:rsid w:val="00E07663"/>
    <w:rsid w:val="00E07BF2"/>
    <w:rsid w:val="00E10F7C"/>
    <w:rsid w:val="00E112ED"/>
    <w:rsid w:val="00E11FA3"/>
    <w:rsid w:val="00E122F5"/>
    <w:rsid w:val="00E12397"/>
    <w:rsid w:val="00E1275C"/>
    <w:rsid w:val="00E12CE4"/>
    <w:rsid w:val="00E12DE9"/>
    <w:rsid w:val="00E12FF9"/>
    <w:rsid w:val="00E137AE"/>
    <w:rsid w:val="00E14A72"/>
    <w:rsid w:val="00E15249"/>
    <w:rsid w:val="00E1533F"/>
    <w:rsid w:val="00E1565F"/>
    <w:rsid w:val="00E16122"/>
    <w:rsid w:val="00E1680B"/>
    <w:rsid w:val="00E172DE"/>
    <w:rsid w:val="00E17F71"/>
    <w:rsid w:val="00E17FC0"/>
    <w:rsid w:val="00E20170"/>
    <w:rsid w:val="00E207AA"/>
    <w:rsid w:val="00E208AA"/>
    <w:rsid w:val="00E20DD4"/>
    <w:rsid w:val="00E20DEB"/>
    <w:rsid w:val="00E21648"/>
    <w:rsid w:val="00E22243"/>
    <w:rsid w:val="00E222AB"/>
    <w:rsid w:val="00E224CD"/>
    <w:rsid w:val="00E225B8"/>
    <w:rsid w:val="00E22B53"/>
    <w:rsid w:val="00E236E2"/>
    <w:rsid w:val="00E237DE"/>
    <w:rsid w:val="00E23E90"/>
    <w:rsid w:val="00E24060"/>
    <w:rsid w:val="00E24333"/>
    <w:rsid w:val="00E248A2"/>
    <w:rsid w:val="00E252B1"/>
    <w:rsid w:val="00E25533"/>
    <w:rsid w:val="00E25B04"/>
    <w:rsid w:val="00E25B33"/>
    <w:rsid w:val="00E26272"/>
    <w:rsid w:val="00E264A3"/>
    <w:rsid w:val="00E26E0B"/>
    <w:rsid w:val="00E274CB"/>
    <w:rsid w:val="00E27583"/>
    <w:rsid w:val="00E27F98"/>
    <w:rsid w:val="00E3042E"/>
    <w:rsid w:val="00E31153"/>
    <w:rsid w:val="00E31614"/>
    <w:rsid w:val="00E32959"/>
    <w:rsid w:val="00E32B9E"/>
    <w:rsid w:val="00E332CF"/>
    <w:rsid w:val="00E33567"/>
    <w:rsid w:val="00E33F3C"/>
    <w:rsid w:val="00E340B3"/>
    <w:rsid w:val="00E3422B"/>
    <w:rsid w:val="00E344D1"/>
    <w:rsid w:val="00E34569"/>
    <w:rsid w:val="00E34614"/>
    <w:rsid w:val="00E35041"/>
    <w:rsid w:val="00E35491"/>
    <w:rsid w:val="00E35E97"/>
    <w:rsid w:val="00E36A82"/>
    <w:rsid w:val="00E36C7E"/>
    <w:rsid w:val="00E37871"/>
    <w:rsid w:val="00E378E0"/>
    <w:rsid w:val="00E40272"/>
    <w:rsid w:val="00E40480"/>
    <w:rsid w:val="00E407A7"/>
    <w:rsid w:val="00E40CE1"/>
    <w:rsid w:val="00E40DB0"/>
    <w:rsid w:val="00E4214F"/>
    <w:rsid w:val="00E42277"/>
    <w:rsid w:val="00E42A61"/>
    <w:rsid w:val="00E4342A"/>
    <w:rsid w:val="00E43BFD"/>
    <w:rsid w:val="00E44356"/>
    <w:rsid w:val="00E4515F"/>
    <w:rsid w:val="00E452C6"/>
    <w:rsid w:val="00E45ACE"/>
    <w:rsid w:val="00E45B88"/>
    <w:rsid w:val="00E46019"/>
    <w:rsid w:val="00E46316"/>
    <w:rsid w:val="00E46A72"/>
    <w:rsid w:val="00E46ACE"/>
    <w:rsid w:val="00E47747"/>
    <w:rsid w:val="00E47DEC"/>
    <w:rsid w:val="00E5109B"/>
    <w:rsid w:val="00E5169C"/>
    <w:rsid w:val="00E51AAC"/>
    <w:rsid w:val="00E51D44"/>
    <w:rsid w:val="00E5292A"/>
    <w:rsid w:val="00E52979"/>
    <w:rsid w:val="00E535AA"/>
    <w:rsid w:val="00E53747"/>
    <w:rsid w:val="00E54522"/>
    <w:rsid w:val="00E5557A"/>
    <w:rsid w:val="00E558F0"/>
    <w:rsid w:val="00E55E2C"/>
    <w:rsid w:val="00E56062"/>
    <w:rsid w:val="00E56E18"/>
    <w:rsid w:val="00E57073"/>
    <w:rsid w:val="00E57CEB"/>
    <w:rsid w:val="00E57D51"/>
    <w:rsid w:val="00E603FC"/>
    <w:rsid w:val="00E60931"/>
    <w:rsid w:val="00E60AAD"/>
    <w:rsid w:val="00E60C1C"/>
    <w:rsid w:val="00E60E55"/>
    <w:rsid w:val="00E60F3D"/>
    <w:rsid w:val="00E60F94"/>
    <w:rsid w:val="00E60F96"/>
    <w:rsid w:val="00E61006"/>
    <w:rsid w:val="00E618A9"/>
    <w:rsid w:val="00E6191E"/>
    <w:rsid w:val="00E61A68"/>
    <w:rsid w:val="00E61BF9"/>
    <w:rsid w:val="00E627FD"/>
    <w:rsid w:val="00E63239"/>
    <w:rsid w:val="00E63C87"/>
    <w:rsid w:val="00E642AC"/>
    <w:rsid w:val="00E644AE"/>
    <w:rsid w:val="00E644C3"/>
    <w:rsid w:val="00E6458A"/>
    <w:rsid w:val="00E64703"/>
    <w:rsid w:val="00E64C35"/>
    <w:rsid w:val="00E651CB"/>
    <w:rsid w:val="00E65F56"/>
    <w:rsid w:val="00E660C5"/>
    <w:rsid w:val="00E66711"/>
    <w:rsid w:val="00E667E0"/>
    <w:rsid w:val="00E66A4C"/>
    <w:rsid w:val="00E66F5F"/>
    <w:rsid w:val="00E67006"/>
    <w:rsid w:val="00E6738B"/>
    <w:rsid w:val="00E67770"/>
    <w:rsid w:val="00E67DAA"/>
    <w:rsid w:val="00E7035A"/>
    <w:rsid w:val="00E706C1"/>
    <w:rsid w:val="00E708DC"/>
    <w:rsid w:val="00E71383"/>
    <w:rsid w:val="00E719FD"/>
    <w:rsid w:val="00E71D97"/>
    <w:rsid w:val="00E720B4"/>
    <w:rsid w:val="00E72613"/>
    <w:rsid w:val="00E72AD5"/>
    <w:rsid w:val="00E72BFE"/>
    <w:rsid w:val="00E737EF"/>
    <w:rsid w:val="00E738D3"/>
    <w:rsid w:val="00E73919"/>
    <w:rsid w:val="00E739C3"/>
    <w:rsid w:val="00E73BAB"/>
    <w:rsid w:val="00E73C2D"/>
    <w:rsid w:val="00E73F33"/>
    <w:rsid w:val="00E74123"/>
    <w:rsid w:val="00E745E2"/>
    <w:rsid w:val="00E74637"/>
    <w:rsid w:val="00E74913"/>
    <w:rsid w:val="00E74E7F"/>
    <w:rsid w:val="00E753E3"/>
    <w:rsid w:val="00E75410"/>
    <w:rsid w:val="00E76E64"/>
    <w:rsid w:val="00E77460"/>
    <w:rsid w:val="00E77490"/>
    <w:rsid w:val="00E775B9"/>
    <w:rsid w:val="00E778D8"/>
    <w:rsid w:val="00E807A2"/>
    <w:rsid w:val="00E808F1"/>
    <w:rsid w:val="00E80DEF"/>
    <w:rsid w:val="00E81793"/>
    <w:rsid w:val="00E824B3"/>
    <w:rsid w:val="00E82C41"/>
    <w:rsid w:val="00E82F36"/>
    <w:rsid w:val="00E83CBD"/>
    <w:rsid w:val="00E854FF"/>
    <w:rsid w:val="00E85B24"/>
    <w:rsid w:val="00E85ED5"/>
    <w:rsid w:val="00E85F6E"/>
    <w:rsid w:val="00E872C3"/>
    <w:rsid w:val="00E873EC"/>
    <w:rsid w:val="00E876B5"/>
    <w:rsid w:val="00E8776E"/>
    <w:rsid w:val="00E87AEB"/>
    <w:rsid w:val="00E87F6A"/>
    <w:rsid w:val="00E87FC7"/>
    <w:rsid w:val="00E903E9"/>
    <w:rsid w:val="00E90F79"/>
    <w:rsid w:val="00E91379"/>
    <w:rsid w:val="00E91C21"/>
    <w:rsid w:val="00E9229E"/>
    <w:rsid w:val="00E9234F"/>
    <w:rsid w:val="00E925FC"/>
    <w:rsid w:val="00E92765"/>
    <w:rsid w:val="00E93297"/>
    <w:rsid w:val="00E93435"/>
    <w:rsid w:val="00E938BF"/>
    <w:rsid w:val="00E93A84"/>
    <w:rsid w:val="00E93B2C"/>
    <w:rsid w:val="00E9416D"/>
    <w:rsid w:val="00E94398"/>
    <w:rsid w:val="00E954DD"/>
    <w:rsid w:val="00E95CF1"/>
    <w:rsid w:val="00E9612E"/>
    <w:rsid w:val="00E963D4"/>
    <w:rsid w:val="00E96AEE"/>
    <w:rsid w:val="00E97D3F"/>
    <w:rsid w:val="00EA0578"/>
    <w:rsid w:val="00EA06BB"/>
    <w:rsid w:val="00EA118C"/>
    <w:rsid w:val="00EA15DC"/>
    <w:rsid w:val="00EA1A70"/>
    <w:rsid w:val="00EA260A"/>
    <w:rsid w:val="00EA2CC3"/>
    <w:rsid w:val="00EA46FC"/>
    <w:rsid w:val="00EA579C"/>
    <w:rsid w:val="00EA5C4D"/>
    <w:rsid w:val="00EA6A23"/>
    <w:rsid w:val="00EA6A98"/>
    <w:rsid w:val="00EA7A9D"/>
    <w:rsid w:val="00EA7EB2"/>
    <w:rsid w:val="00EB028D"/>
    <w:rsid w:val="00EB06C8"/>
    <w:rsid w:val="00EB07E9"/>
    <w:rsid w:val="00EB0B1D"/>
    <w:rsid w:val="00EB0C65"/>
    <w:rsid w:val="00EB1406"/>
    <w:rsid w:val="00EB17D5"/>
    <w:rsid w:val="00EB196C"/>
    <w:rsid w:val="00EB1ACC"/>
    <w:rsid w:val="00EB1BA2"/>
    <w:rsid w:val="00EB2354"/>
    <w:rsid w:val="00EB28A9"/>
    <w:rsid w:val="00EB317F"/>
    <w:rsid w:val="00EB31B8"/>
    <w:rsid w:val="00EB3658"/>
    <w:rsid w:val="00EB3A4F"/>
    <w:rsid w:val="00EB3B15"/>
    <w:rsid w:val="00EB4563"/>
    <w:rsid w:val="00EB45EE"/>
    <w:rsid w:val="00EB4B1C"/>
    <w:rsid w:val="00EB4BFD"/>
    <w:rsid w:val="00EB4DAF"/>
    <w:rsid w:val="00EB5C3A"/>
    <w:rsid w:val="00EB5C74"/>
    <w:rsid w:val="00EB789D"/>
    <w:rsid w:val="00EC02AF"/>
    <w:rsid w:val="00EC0E14"/>
    <w:rsid w:val="00EC136C"/>
    <w:rsid w:val="00EC1E17"/>
    <w:rsid w:val="00EC2462"/>
    <w:rsid w:val="00EC27DE"/>
    <w:rsid w:val="00EC293E"/>
    <w:rsid w:val="00EC2C9C"/>
    <w:rsid w:val="00EC2D6D"/>
    <w:rsid w:val="00EC30A8"/>
    <w:rsid w:val="00EC4090"/>
    <w:rsid w:val="00EC40C1"/>
    <w:rsid w:val="00EC47E0"/>
    <w:rsid w:val="00EC4ACB"/>
    <w:rsid w:val="00EC5059"/>
    <w:rsid w:val="00EC5092"/>
    <w:rsid w:val="00EC5DC3"/>
    <w:rsid w:val="00EC6001"/>
    <w:rsid w:val="00EC716A"/>
    <w:rsid w:val="00EC71B9"/>
    <w:rsid w:val="00EC7B16"/>
    <w:rsid w:val="00EC7BD8"/>
    <w:rsid w:val="00EC7E88"/>
    <w:rsid w:val="00ED0B93"/>
    <w:rsid w:val="00ED0D9C"/>
    <w:rsid w:val="00ED0F73"/>
    <w:rsid w:val="00ED1224"/>
    <w:rsid w:val="00ED17A6"/>
    <w:rsid w:val="00ED1979"/>
    <w:rsid w:val="00ED1A62"/>
    <w:rsid w:val="00ED1A80"/>
    <w:rsid w:val="00ED1B07"/>
    <w:rsid w:val="00ED1B81"/>
    <w:rsid w:val="00ED1E2D"/>
    <w:rsid w:val="00ED2440"/>
    <w:rsid w:val="00ED29F9"/>
    <w:rsid w:val="00ED2CD5"/>
    <w:rsid w:val="00ED3235"/>
    <w:rsid w:val="00ED448A"/>
    <w:rsid w:val="00ED597E"/>
    <w:rsid w:val="00ED6933"/>
    <w:rsid w:val="00ED7470"/>
    <w:rsid w:val="00EE0457"/>
    <w:rsid w:val="00EE0694"/>
    <w:rsid w:val="00EE09C4"/>
    <w:rsid w:val="00EE0F4E"/>
    <w:rsid w:val="00EE14DA"/>
    <w:rsid w:val="00EE16F1"/>
    <w:rsid w:val="00EE187E"/>
    <w:rsid w:val="00EE1D23"/>
    <w:rsid w:val="00EE1DA7"/>
    <w:rsid w:val="00EE2289"/>
    <w:rsid w:val="00EE2464"/>
    <w:rsid w:val="00EE2C70"/>
    <w:rsid w:val="00EE3294"/>
    <w:rsid w:val="00EE32DF"/>
    <w:rsid w:val="00EE385E"/>
    <w:rsid w:val="00EE3936"/>
    <w:rsid w:val="00EE39D2"/>
    <w:rsid w:val="00EE39F9"/>
    <w:rsid w:val="00EE3A6B"/>
    <w:rsid w:val="00EE4828"/>
    <w:rsid w:val="00EE4A06"/>
    <w:rsid w:val="00EE4FE9"/>
    <w:rsid w:val="00EE56CA"/>
    <w:rsid w:val="00EE5998"/>
    <w:rsid w:val="00EE5A53"/>
    <w:rsid w:val="00EE5A66"/>
    <w:rsid w:val="00EE5D67"/>
    <w:rsid w:val="00EE64FB"/>
    <w:rsid w:val="00EE6E27"/>
    <w:rsid w:val="00EE7165"/>
    <w:rsid w:val="00EE71C8"/>
    <w:rsid w:val="00EE740B"/>
    <w:rsid w:val="00EE7562"/>
    <w:rsid w:val="00EF0565"/>
    <w:rsid w:val="00EF0857"/>
    <w:rsid w:val="00EF0AD7"/>
    <w:rsid w:val="00EF0E07"/>
    <w:rsid w:val="00EF0EFB"/>
    <w:rsid w:val="00EF105E"/>
    <w:rsid w:val="00EF1E4F"/>
    <w:rsid w:val="00EF2F1E"/>
    <w:rsid w:val="00EF305C"/>
    <w:rsid w:val="00EF3318"/>
    <w:rsid w:val="00EF34E7"/>
    <w:rsid w:val="00EF375C"/>
    <w:rsid w:val="00EF3A34"/>
    <w:rsid w:val="00EF3CCF"/>
    <w:rsid w:val="00EF462C"/>
    <w:rsid w:val="00EF68DE"/>
    <w:rsid w:val="00EF6925"/>
    <w:rsid w:val="00EF7AC0"/>
    <w:rsid w:val="00F00283"/>
    <w:rsid w:val="00F00445"/>
    <w:rsid w:val="00F0058D"/>
    <w:rsid w:val="00F00A17"/>
    <w:rsid w:val="00F01F3A"/>
    <w:rsid w:val="00F020F4"/>
    <w:rsid w:val="00F0273C"/>
    <w:rsid w:val="00F02742"/>
    <w:rsid w:val="00F02983"/>
    <w:rsid w:val="00F03713"/>
    <w:rsid w:val="00F039ED"/>
    <w:rsid w:val="00F04300"/>
    <w:rsid w:val="00F043F3"/>
    <w:rsid w:val="00F04E97"/>
    <w:rsid w:val="00F05064"/>
    <w:rsid w:val="00F05092"/>
    <w:rsid w:val="00F0510A"/>
    <w:rsid w:val="00F0524A"/>
    <w:rsid w:val="00F05451"/>
    <w:rsid w:val="00F05E8C"/>
    <w:rsid w:val="00F05EF0"/>
    <w:rsid w:val="00F069D7"/>
    <w:rsid w:val="00F07817"/>
    <w:rsid w:val="00F07C44"/>
    <w:rsid w:val="00F07F7F"/>
    <w:rsid w:val="00F10512"/>
    <w:rsid w:val="00F10B2A"/>
    <w:rsid w:val="00F1188E"/>
    <w:rsid w:val="00F11D27"/>
    <w:rsid w:val="00F1220C"/>
    <w:rsid w:val="00F127F4"/>
    <w:rsid w:val="00F12C36"/>
    <w:rsid w:val="00F12F18"/>
    <w:rsid w:val="00F13492"/>
    <w:rsid w:val="00F13E77"/>
    <w:rsid w:val="00F1429A"/>
    <w:rsid w:val="00F142D4"/>
    <w:rsid w:val="00F1469C"/>
    <w:rsid w:val="00F14AF0"/>
    <w:rsid w:val="00F15D9E"/>
    <w:rsid w:val="00F15E12"/>
    <w:rsid w:val="00F15ECC"/>
    <w:rsid w:val="00F15F73"/>
    <w:rsid w:val="00F16254"/>
    <w:rsid w:val="00F166EB"/>
    <w:rsid w:val="00F17774"/>
    <w:rsid w:val="00F20166"/>
    <w:rsid w:val="00F2036F"/>
    <w:rsid w:val="00F209D1"/>
    <w:rsid w:val="00F20F50"/>
    <w:rsid w:val="00F2178A"/>
    <w:rsid w:val="00F218A6"/>
    <w:rsid w:val="00F21FA7"/>
    <w:rsid w:val="00F22922"/>
    <w:rsid w:val="00F234CD"/>
    <w:rsid w:val="00F234D8"/>
    <w:rsid w:val="00F23AF4"/>
    <w:rsid w:val="00F24379"/>
    <w:rsid w:val="00F243AD"/>
    <w:rsid w:val="00F2479D"/>
    <w:rsid w:val="00F24FC8"/>
    <w:rsid w:val="00F2512C"/>
    <w:rsid w:val="00F255CE"/>
    <w:rsid w:val="00F25940"/>
    <w:rsid w:val="00F25F1B"/>
    <w:rsid w:val="00F2656A"/>
    <w:rsid w:val="00F267B7"/>
    <w:rsid w:val="00F27A15"/>
    <w:rsid w:val="00F27A30"/>
    <w:rsid w:val="00F27BB3"/>
    <w:rsid w:val="00F30071"/>
    <w:rsid w:val="00F304FB"/>
    <w:rsid w:val="00F31008"/>
    <w:rsid w:val="00F318A7"/>
    <w:rsid w:val="00F31DB4"/>
    <w:rsid w:val="00F31FEC"/>
    <w:rsid w:val="00F32651"/>
    <w:rsid w:val="00F326AD"/>
    <w:rsid w:val="00F3270B"/>
    <w:rsid w:val="00F33286"/>
    <w:rsid w:val="00F3387B"/>
    <w:rsid w:val="00F3418E"/>
    <w:rsid w:val="00F345E4"/>
    <w:rsid w:val="00F34F8C"/>
    <w:rsid w:val="00F36470"/>
    <w:rsid w:val="00F36C95"/>
    <w:rsid w:val="00F375A6"/>
    <w:rsid w:val="00F37D5D"/>
    <w:rsid w:val="00F40271"/>
    <w:rsid w:val="00F40C07"/>
    <w:rsid w:val="00F412D0"/>
    <w:rsid w:val="00F41317"/>
    <w:rsid w:val="00F41906"/>
    <w:rsid w:val="00F4246B"/>
    <w:rsid w:val="00F42B4F"/>
    <w:rsid w:val="00F42BD8"/>
    <w:rsid w:val="00F432DC"/>
    <w:rsid w:val="00F43CFD"/>
    <w:rsid w:val="00F44297"/>
    <w:rsid w:val="00F44588"/>
    <w:rsid w:val="00F45787"/>
    <w:rsid w:val="00F46A55"/>
    <w:rsid w:val="00F46BBE"/>
    <w:rsid w:val="00F46D8E"/>
    <w:rsid w:val="00F46F9E"/>
    <w:rsid w:val="00F4738D"/>
    <w:rsid w:val="00F47F3E"/>
    <w:rsid w:val="00F50DE2"/>
    <w:rsid w:val="00F50EF6"/>
    <w:rsid w:val="00F5172B"/>
    <w:rsid w:val="00F5201D"/>
    <w:rsid w:val="00F52835"/>
    <w:rsid w:val="00F53432"/>
    <w:rsid w:val="00F53D35"/>
    <w:rsid w:val="00F54280"/>
    <w:rsid w:val="00F5433A"/>
    <w:rsid w:val="00F543CD"/>
    <w:rsid w:val="00F54AD1"/>
    <w:rsid w:val="00F54B55"/>
    <w:rsid w:val="00F56424"/>
    <w:rsid w:val="00F56E50"/>
    <w:rsid w:val="00F571A9"/>
    <w:rsid w:val="00F57DEF"/>
    <w:rsid w:val="00F6056A"/>
    <w:rsid w:val="00F6089F"/>
    <w:rsid w:val="00F609AA"/>
    <w:rsid w:val="00F60F01"/>
    <w:rsid w:val="00F611E4"/>
    <w:rsid w:val="00F615F5"/>
    <w:rsid w:val="00F61BE0"/>
    <w:rsid w:val="00F621D1"/>
    <w:rsid w:val="00F62679"/>
    <w:rsid w:val="00F62DF3"/>
    <w:rsid w:val="00F63012"/>
    <w:rsid w:val="00F6307A"/>
    <w:rsid w:val="00F630A8"/>
    <w:rsid w:val="00F63538"/>
    <w:rsid w:val="00F63885"/>
    <w:rsid w:val="00F640CC"/>
    <w:rsid w:val="00F647FA"/>
    <w:rsid w:val="00F64813"/>
    <w:rsid w:val="00F64BD1"/>
    <w:rsid w:val="00F653AA"/>
    <w:rsid w:val="00F6546D"/>
    <w:rsid w:val="00F65800"/>
    <w:rsid w:val="00F65A84"/>
    <w:rsid w:val="00F65DA9"/>
    <w:rsid w:val="00F66249"/>
    <w:rsid w:val="00F66963"/>
    <w:rsid w:val="00F66A73"/>
    <w:rsid w:val="00F676F3"/>
    <w:rsid w:val="00F67748"/>
    <w:rsid w:val="00F70854"/>
    <w:rsid w:val="00F708FC"/>
    <w:rsid w:val="00F70939"/>
    <w:rsid w:val="00F71364"/>
    <w:rsid w:val="00F717E2"/>
    <w:rsid w:val="00F72124"/>
    <w:rsid w:val="00F72166"/>
    <w:rsid w:val="00F7346E"/>
    <w:rsid w:val="00F7369A"/>
    <w:rsid w:val="00F73BAF"/>
    <w:rsid w:val="00F73C7A"/>
    <w:rsid w:val="00F73FB1"/>
    <w:rsid w:val="00F74F1E"/>
    <w:rsid w:val="00F74FC1"/>
    <w:rsid w:val="00F753A1"/>
    <w:rsid w:val="00F75739"/>
    <w:rsid w:val="00F75C16"/>
    <w:rsid w:val="00F75E61"/>
    <w:rsid w:val="00F75F71"/>
    <w:rsid w:val="00F76163"/>
    <w:rsid w:val="00F762D7"/>
    <w:rsid w:val="00F7687A"/>
    <w:rsid w:val="00F7712E"/>
    <w:rsid w:val="00F77869"/>
    <w:rsid w:val="00F80A28"/>
    <w:rsid w:val="00F80D2D"/>
    <w:rsid w:val="00F812DD"/>
    <w:rsid w:val="00F813B2"/>
    <w:rsid w:val="00F8151D"/>
    <w:rsid w:val="00F81C9E"/>
    <w:rsid w:val="00F81DB8"/>
    <w:rsid w:val="00F81DD5"/>
    <w:rsid w:val="00F823DC"/>
    <w:rsid w:val="00F8258F"/>
    <w:rsid w:val="00F82A00"/>
    <w:rsid w:val="00F82F30"/>
    <w:rsid w:val="00F83048"/>
    <w:rsid w:val="00F83211"/>
    <w:rsid w:val="00F8374A"/>
    <w:rsid w:val="00F83A1A"/>
    <w:rsid w:val="00F84A75"/>
    <w:rsid w:val="00F84CF7"/>
    <w:rsid w:val="00F84D8F"/>
    <w:rsid w:val="00F8506D"/>
    <w:rsid w:val="00F85763"/>
    <w:rsid w:val="00F85DAA"/>
    <w:rsid w:val="00F8612F"/>
    <w:rsid w:val="00F862E9"/>
    <w:rsid w:val="00F866E8"/>
    <w:rsid w:val="00F87561"/>
    <w:rsid w:val="00F87DAC"/>
    <w:rsid w:val="00F90444"/>
    <w:rsid w:val="00F9077B"/>
    <w:rsid w:val="00F91B6F"/>
    <w:rsid w:val="00F91FBD"/>
    <w:rsid w:val="00F920A4"/>
    <w:rsid w:val="00F92897"/>
    <w:rsid w:val="00F92FF5"/>
    <w:rsid w:val="00F93614"/>
    <w:rsid w:val="00F93670"/>
    <w:rsid w:val="00F93818"/>
    <w:rsid w:val="00F9383A"/>
    <w:rsid w:val="00F93B09"/>
    <w:rsid w:val="00F93FC4"/>
    <w:rsid w:val="00F943F0"/>
    <w:rsid w:val="00F954C8"/>
    <w:rsid w:val="00F9571D"/>
    <w:rsid w:val="00F95F0D"/>
    <w:rsid w:val="00F968BA"/>
    <w:rsid w:val="00F96F26"/>
    <w:rsid w:val="00F96F2C"/>
    <w:rsid w:val="00F97261"/>
    <w:rsid w:val="00F97872"/>
    <w:rsid w:val="00F97F59"/>
    <w:rsid w:val="00FA05E3"/>
    <w:rsid w:val="00FA0AE0"/>
    <w:rsid w:val="00FA16FB"/>
    <w:rsid w:val="00FA17E4"/>
    <w:rsid w:val="00FA1FDC"/>
    <w:rsid w:val="00FA21C9"/>
    <w:rsid w:val="00FA2867"/>
    <w:rsid w:val="00FA28F1"/>
    <w:rsid w:val="00FA2C6A"/>
    <w:rsid w:val="00FA2D43"/>
    <w:rsid w:val="00FA2D5F"/>
    <w:rsid w:val="00FA437A"/>
    <w:rsid w:val="00FA45EF"/>
    <w:rsid w:val="00FA58AC"/>
    <w:rsid w:val="00FA5EC5"/>
    <w:rsid w:val="00FA663E"/>
    <w:rsid w:val="00FA6B45"/>
    <w:rsid w:val="00FA6D67"/>
    <w:rsid w:val="00FA6F47"/>
    <w:rsid w:val="00FA77F9"/>
    <w:rsid w:val="00FA7898"/>
    <w:rsid w:val="00FB06B7"/>
    <w:rsid w:val="00FB097A"/>
    <w:rsid w:val="00FB0D38"/>
    <w:rsid w:val="00FB10D9"/>
    <w:rsid w:val="00FB1210"/>
    <w:rsid w:val="00FB13D1"/>
    <w:rsid w:val="00FB1D29"/>
    <w:rsid w:val="00FB3174"/>
    <w:rsid w:val="00FB32A6"/>
    <w:rsid w:val="00FB3679"/>
    <w:rsid w:val="00FB3A18"/>
    <w:rsid w:val="00FB422E"/>
    <w:rsid w:val="00FB45DC"/>
    <w:rsid w:val="00FB49EE"/>
    <w:rsid w:val="00FB4F08"/>
    <w:rsid w:val="00FB598A"/>
    <w:rsid w:val="00FB5BFD"/>
    <w:rsid w:val="00FB6621"/>
    <w:rsid w:val="00FB675C"/>
    <w:rsid w:val="00FB6C3C"/>
    <w:rsid w:val="00FB6D64"/>
    <w:rsid w:val="00FB7A1C"/>
    <w:rsid w:val="00FC00DB"/>
    <w:rsid w:val="00FC0239"/>
    <w:rsid w:val="00FC0820"/>
    <w:rsid w:val="00FC1018"/>
    <w:rsid w:val="00FC195A"/>
    <w:rsid w:val="00FC19B4"/>
    <w:rsid w:val="00FC2980"/>
    <w:rsid w:val="00FC308F"/>
    <w:rsid w:val="00FC3430"/>
    <w:rsid w:val="00FC43B6"/>
    <w:rsid w:val="00FC4A45"/>
    <w:rsid w:val="00FC4CEC"/>
    <w:rsid w:val="00FC4D33"/>
    <w:rsid w:val="00FC507A"/>
    <w:rsid w:val="00FC5834"/>
    <w:rsid w:val="00FC59D9"/>
    <w:rsid w:val="00FC628C"/>
    <w:rsid w:val="00FC6478"/>
    <w:rsid w:val="00FC67E0"/>
    <w:rsid w:val="00FC690B"/>
    <w:rsid w:val="00FC6C67"/>
    <w:rsid w:val="00FC7353"/>
    <w:rsid w:val="00FC74E8"/>
    <w:rsid w:val="00FC7B0E"/>
    <w:rsid w:val="00FC7DA9"/>
    <w:rsid w:val="00FD04EC"/>
    <w:rsid w:val="00FD1225"/>
    <w:rsid w:val="00FD1DE6"/>
    <w:rsid w:val="00FD25BE"/>
    <w:rsid w:val="00FD25D5"/>
    <w:rsid w:val="00FD2B37"/>
    <w:rsid w:val="00FD319E"/>
    <w:rsid w:val="00FD3F3F"/>
    <w:rsid w:val="00FD477C"/>
    <w:rsid w:val="00FD4F24"/>
    <w:rsid w:val="00FD4FC5"/>
    <w:rsid w:val="00FD51F5"/>
    <w:rsid w:val="00FD523F"/>
    <w:rsid w:val="00FD549F"/>
    <w:rsid w:val="00FD5E8A"/>
    <w:rsid w:val="00FD698E"/>
    <w:rsid w:val="00FD7F01"/>
    <w:rsid w:val="00FE0AED"/>
    <w:rsid w:val="00FE0E04"/>
    <w:rsid w:val="00FE1ACD"/>
    <w:rsid w:val="00FE1F64"/>
    <w:rsid w:val="00FE25B3"/>
    <w:rsid w:val="00FE3028"/>
    <w:rsid w:val="00FE3732"/>
    <w:rsid w:val="00FE3C0B"/>
    <w:rsid w:val="00FE483D"/>
    <w:rsid w:val="00FE4CAF"/>
    <w:rsid w:val="00FE4CE6"/>
    <w:rsid w:val="00FE4D84"/>
    <w:rsid w:val="00FE4E1C"/>
    <w:rsid w:val="00FE53DE"/>
    <w:rsid w:val="00FE57DC"/>
    <w:rsid w:val="00FE62D4"/>
    <w:rsid w:val="00FE63F2"/>
    <w:rsid w:val="00FE6FCC"/>
    <w:rsid w:val="00FE7156"/>
    <w:rsid w:val="00FE76F6"/>
    <w:rsid w:val="00FE7812"/>
    <w:rsid w:val="00FE7B9A"/>
    <w:rsid w:val="00FF031B"/>
    <w:rsid w:val="00FF06A0"/>
    <w:rsid w:val="00FF0891"/>
    <w:rsid w:val="00FF0D9B"/>
    <w:rsid w:val="00FF0E86"/>
    <w:rsid w:val="00FF0FE2"/>
    <w:rsid w:val="00FF130A"/>
    <w:rsid w:val="00FF1A85"/>
    <w:rsid w:val="00FF1BC8"/>
    <w:rsid w:val="00FF1FA4"/>
    <w:rsid w:val="00FF22FE"/>
    <w:rsid w:val="00FF2A20"/>
    <w:rsid w:val="00FF3C3A"/>
    <w:rsid w:val="00FF407A"/>
    <w:rsid w:val="00FF4A58"/>
    <w:rsid w:val="00FF4A91"/>
    <w:rsid w:val="00FF4C75"/>
    <w:rsid w:val="00FF4D7B"/>
    <w:rsid w:val="00FF4F32"/>
    <w:rsid w:val="00FF50D2"/>
    <w:rsid w:val="00FF58A2"/>
    <w:rsid w:val="00FF5C94"/>
    <w:rsid w:val="00FF5F1B"/>
    <w:rsid w:val="00FF664C"/>
    <w:rsid w:val="00FF7904"/>
    <w:rsid w:val="00FF799A"/>
    <w:rsid w:val="28D743D6"/>
    <w:rsid w:val="50EEEA28"/>
    <w:rsid w:val="5B34BE61"/>
    <w:rsid w:val="66BCCC9E"/>
    <w:rsid w:val="7788EE35"/>
    <w:rsid w:val="7E42D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F3E8"/>
  <w15:chartTrackingRefBased/>
  <w15:docId w15:val="{2568B4F7-1C98-41EE-9F4C-D2C03A00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56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38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71BB"/>
    <w:pPr>
      <w:spacing w:before="100" w:beforeAutospacing="1" w:after="100" w:afterAutospacing="1"/>
      <w:outlineLvl w:val="2"/>
    </w:pPr>
    <w:rPr>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1BB"/>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1571BB"/>
    <w:pPr>
      <w:spacing w:before="100" w:beforeAutospacing="1" w:after="100" w:afterAutospacing="1"/>
    </w:pPr>
    <w:rPr>
      <w:lang w:eastAsia="lt-LT"/>
    </w:rPr>
  </w:style>
  <w:style w:type="character" w:styleId="Emphasis">
    <w:name w:val="Emphasis"/>
    <w:basedOn w:val="DefaultParagraphFont"/>
    <w:uiPriority w:val="20"/>
    <w:qFormat/>
    <w:rsid w:val="001571BB"/>
    <w:rPr>
      <w:i/>
      <w:iCs/>
    </w:rPr>
  </w:style>
  <w:style w:type="character" w:styleId="Strong">
    <w:name w:val="Strong"/>
    <w:basedOn w:val="DefaultParagraphFont"/>
    <w:uiPriority w:val="22"/>
    <w:qFormat/>
    <w:rsid w:val="001571BB"/>
    <w:rPr>
      <w:b/>
      <w:bCs/>
    </w:rPr>
  </w:style>
  <w:style w:type="character" w:styleId="Hyperlink">
    <w:name w:val="Hyperlink"/>
    <w:basedOn w:val="DefaultParagraphFont"/>
    <w:uiPriority w:val="99"/>
    <w:unhideWhenUsed/>
    <w:rsid w:val="001571BB"/>
    <w:rPr>
      <w:color w:val="0000FF"/>
      <w:u w:val="single"/>
    </w:rPr>
  </w:style>
  <w:style w:type="character" w:styleId="UnresolvedMention">
    <w:name w:val="Unresolved Mention"/>
    <w:basedOn w:val="DefaultParagraphFont"/>
    <w:uiPriority w:val="99"/>
    <w:semiHidden/>
    <w:unhideWhenUsed/>
    <w:rsid w:val="003B23E2"/>
    <w:rPr>
      <w:color w:val="808080"/>
      <w:shd w:val="clear" w:color="auto" w:fill="E6E6E6"/>
    </w:rPr>
  </w:style>
  <w:style w:type="character" w:styleId="FollowedHyperlink">
    <w:name w:val="FollowedHyperlink"/>
    <w:basedOn w:val="DefaultParagraphFont"/>
    <w:uiPriority w:val="99"/>
    <w:semiHidden/>
    <w:unhideWhenUsed/>
    <w:rsid w:val="00006984"/>
    <w:rPr>
      <w:color w:val="954F72" w:themeColor="followedHyperlink"/>
      <w:u w:val="single"/>
    </w:rPr>
  </w:style>
  <w:style w:type="paragraph" w:styleId="ListParagraph">
    <w:name w:val="List Paragraph"/>
    <w:aliases w:val="body,Odsek zoznamu2"/>
    <w:basedOn w:val="Normal"/>
    <w:link w:val="ListParagraphChar"/>
    <w:uiPriority w:val="34"/>
    <w:qFormat/>
    <w:rsid w:val="00D5091A"/>
    <w:pPr>
      <w:ind w:left="720"/>
      <w:contextualSpacing/>
    </w:pPr>
  </w:style>
  <w:style w:type="character" w:customStyle="1" w:styleId="ListParagraphChar">
    <w:name w:val="List Paragraph Char"/>
    <w:aliases w:val="body Char,Odsek zoznamu2 Char"/>
    <w:basedOn w:val="DefaultParagraphFont"/>
    <w:link w:val="ListParagraph"/>
    <w:uiPriority w:val="99"/>
    <w:locked/>
    <w:rsid w:val="00D5091A"/>
  </w:style>
  <w:style w:type="table" w:styleId="TableGrid">
    <w:name w:val="Table Grid"/>
    <w:basedOn w:val="TableNormal"/>
    <w:uiPriority w:val="39"/>
    <w:rsid w:val="00D5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56F"/>
    <w:pPr>
      <w:tabs>
        <w:tab w:val="center" w:pos="4513"/>
        <w:tab w:val="right" w:pos="9026"/>
      </w:tabs>
    </w:pPr>
  </w:style>
  <w:style w:type="character" w:customStyle="1" w:styleId="HeaderChar">
    <w:name w:val="Header Char"/>
    <w:basedOn w:val="DefaultParagraphFont"/>
    <w:link w:val="Header"/>
    <w:uiPriority w:val="99"/>
    <w:rsid w:val="00BE456F"/>
  </w:style>
  <w:style w:type="paragraph" w:styleId="Footer">
    <w:name w:val="footer"/>
    <w:basedOn w:val="Normal"/>
    <w:link w:val="FooterChar"/>
    <w:uiPriority w:val="99"/>
    <w:unhideWhenUsed/>
    <w:rsid w:val="00BE456F"/>
    <w:pPr>
      <w:tabs>
        <w:tab w:val="center" w:pos="4513"/>
        <w:tab w:val="right" w:pos="9026"/>
      </w:tabs>
    </w:pPr>
  </w:style>
  <w:style w:type="character" w:customStyle="1" w:styleId="FooterChar">
    <w:name w:val="Footer Char"/>
    <w:basedOn w:val="DefaultParagraphFont"/>
    <w:link w:val="Footer"/>
    <w:uiPriority w:val="99"/>
    <w:rsid w:val="00BE456F"/>
  </w:style>
  <w:style w:type="paragraph" w:styleId="BalloonText">
    <w:name w:val="Balloon Text"/>
    <w:basedOn w:val="Normal"/>
    <w:link w:val="BalloonTextChar"/>
    <w:uiPriority w:val="99"/>
    <w:semiHidden/>
    <w:unhideWhenUsed/>
    <w:rsid w:val="00577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93"/>
    <w:rPr>
      <w:rFonts w:ascii="Segoe UI" w:hAnsi="Segoe UI" w:cs="Segoe UI"/>
      <w:sz w:val="18"/>
      <w:szCs w:val="18"/>
    </w:rPr>
  </w:style>
  <w:style w:type="character" w:styleId="CommentReference">
    <w:name w:val="annotation reference"/>
    <w:basedOn w:val="DefaultParagraphFont"/>
    <w:uiPriority w:val="99"/>
    <w:unhideWhenUsed/>
    <w:rsid w:val="004259A5"/>
    <w:rPr>
      <w:sz w:val="16"/>
      <w:szCs w:val="16"/>
    </w:rPr>
  </w:style>
  <w:style w:type="paragraph" w:styleId="CommentText">
    <w:name w:val="annotation text"/>
    <w:basedOn w:val="Normal"/>
    <w:link w:val="CommentTextChar"/>
    <w:uiPriority w:val="99"/>
    <w:unhideWhenUsed/>
    <w:rsid w:val="004259A5"/>
    <w:rPr>
      <w:sz w:val="20"/>
      <w:szCs w:val="20"/>
    </w:rPr>
  </w:style>
  <w:style w:type="character" w:customStyle="1" w:styleId="CommentTextChar">
    <w:name w:val="Comment Text Char"/>
    <w:basedOn w:val="DefaultParagraphFont"/>
    <w:link w:val="CommentText"/>
    <w:uiPriority w:val="99"/>
    <w:rsid w:val="004259A5"/>
    <w:rPr>
      <w:sz w:val="20"/>
      <w:szCs w:val="20"/>
    </w:rPr>
  </w:style>
  <w:style w:type="paragraph" w:styleId="CommentSubject">
    <w:name w:val="annotation subject"/>
    <w:basedOn w:val="CommentText"/>
    <w:next w:val="CommentText"/>
    <w:link w:val="CommentSubjectChar"/>
    <w:uiPriority w:val="99"/>
    <w:semiHidden/>
    <w:unhideWhenUsed/>
    <w:rsid w:val="004259A5"/>
    <w:rPr>
      <w:b/>
      <w:bCs/>
    </w:rPr>
  </w:style>
  <w:style w:type="character" w:customStyle="1" w:styleId="CommentSubjectChar">
    <w:name w:val="Comment Subject Char"/>
    <w:basedOn w:val="CommentTextChar"/>
    <w:link w:val="CommentSubject"/>
    <w:uiPriority w:val="99"/>
    <w:semiHidden/>
    <w:rsid w:val="004259A5"/>
    <w:rPr>
      <w:b/>
      <w:bCs/>
      <w:sz w:val="20"/>
      <w:szCs w:val="20"/>
    </w:rPr>
  </w:style>
  <w:style w:type="paragraph" w:styleId="FootnoteText">
    <w:name w:val="footnote text"/>
    <w:basedOn w:val="Normal"/>
    <w:link w:val="FootnoteTextChar"/>
    <w:uiPriority w:val="99"/>
    <w:unhideWhenUsed/>
    <w:rsid w:val="00BD51C4"/>
    <w:rPr>
      <w:sz w:val="20"/>
      <w:szCs w:val="20"/>
    </w:rPr>
  </w:style>
  <w:style w:type="character" w:customStyle="1" w:styleId="FootnoteTextChar">
    <w:name w:val="Footnote Text Char"/>
    <w:basedOn w:val="DefaultParagraphFont"/>
    <w:link w:val="FootnoteText"/>
    <w:uiPriority w:val="99"/>
    <w:rsid w:val="00BD51C4"/>
    <w:rPr>
      <w:sz w:val="20"/>
      <w:szCs w:val="20"/>
    </w:rPr>
  </w:style>
  <w:style w:type="character" w:styleId="FootnoteReference">
    <w:name w:val="footnote reference"/>
    <w:basedOn w:val="DefaultParagraphFont"/>
    <w:uiPriority w:val="99"/>
    <w:unhideWhenUsed/>
    <w:rsid w:val="00BD51C4"/>
    <w:rPr>
      <w:vertAlign w:val="superscript"/>
    </w:rPr>
  </w:style>
  <w:style w:type="paragraph" w:customStyle="1" w:styleId="Default">
    <w:name w:val="Default"/>
    <w:rsid w:val="00AF6FE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F3387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D2C81"/>
  </w:style>
  <w:style w:type="paragraph" w:styleId="Revision">
    <w:name w:val="Revision"/>
    <w:hidden/>
    <w:uiPriority w:val="99"/>
    <w:semiHidden/>
    <w:rsid w:val="00112479"/>
    <w:pPr>
      <w:spacing w:after="0" w:line="240" w:lineRule="auto"/>
    </w:pPr>
  </w:style>
  <w:style w:type="paragraph" w:styleId="EndnoteText">
    <w:name w:val="endnote text"/>
    <w:basedOn w:val="Normal"/>
    <w:link w:val="EndnoteTextChar"/>
    <w:uiPriority w:val="99"/>
    <w:semiHidden/>
    <w:unhideWhenUsed/>
    <w:rsid w:val="00695DBF"/>
    <w:pPr>
      <w:spacing w:after="200" w:line="276" w:lineRule="auto"/>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695DBF"/>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2D62C4"/>
    <w:rPr>
      <w:sz w:val="20"/>
      <w:szCs w:val="20"/>
      <w:lang w:val="lt-LT"/>
    </w:rPr>
  </w:style>
  <w:style w:type="character" w:styleId="PageNumber">
    <w:name w:val="page number"/>
    <w:basedOn w:val="DefaultParagraphFont"/>
    <w:uiPriority w:val="99"/>
    <w:semiHidden/>
    <w:unhideWhenUsed/>
    <w:rsid w:val="00E737EF"/>
  </w:style>
  <w:style w:type="character" w:customStyle="1" w:styleId="Heading1Char">
    <w:name w:val="Heading 1 Char"/>
    <w:basedOn w:val="DefaultParagraphFont"/>
    <w:link w:val="Heading1"/>
    <w:uiPriority w:val="9"/>
    <w:rsid w:val="0063568C"/>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12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077">
      <w:bodyDiv w:val="1"/>
      <w:marLeft w:val="0"/>
      <w:marRight w:val="0"/>
      <w:marTop w:val="0"/>
      <w:marBottom w:val="0"/>
      <w:divBdr>
        <w:top w:val="none" w:sz="0" w:space="0" w:color="auto"/>
        <w:left w:val="none" w:sz="0" w:space="0" w:color="auto"/>
        <w:bottom w:val="none" w:sz="0" w:space="0" w:color="auto"/>
        <w:right w:val="none" w:sz="0" w:space="0" w:color="auto"/>
      </w:divBdr>
    </w:div>
    <w:div w:id="46228728">
      <w:bodyDiv w:val="1"/>
      <w:marLeft w:val="0"/>
      <w:marRight w:val="0"/>
      <w:marTop w:val="0"/>
      <w:marBottom w:val="0"/>
      <w:divBdr>
        <w:top w:val="none" w:sz="0" w:space="0" w:color="auto"/>
        <w:left w:val="none" w:sz="0" w:space="0" w:color="auto"/>
        <w:bottom w:val="none" w:sz="0" w:space="0" w:color="auto"/>
        <w:right w:val="none" w:sz="0" w:space="0" w:color="auto"/>
      </w:divBdr>
    </w:div>
    <w:div w:id="49037873">
      <w:bodyDiv w:val="1"/>
      <w:marLeft w:val="0"/>
      <w:marRight w:val="0"/>
      <w:marTop w:val="0"/>
      <w:marBottom w:val="0"/>
      <w:divBdr>
        <w:top w:val="none" w:sz="0" w:space="0" w:color="auto"/>
        <w:left w:val="none" w:sz="0" w:space="0" w:color="auto"/>
        <w:bottom w:val="none" w:sz="0" w:space="0" w:color="auto"/>
        <w:right w:val="none" w:sz="0" w:space="0" w:color="auto"/>
      </w:divBdr>
    </w:div>
    <w:div w:id="91321666">
      <w:bodyDiv w:val="1"/>
      <w:marLeft w:val="0"/>
      <w:marRight w:val="0"/>
      <w:marTop w:val="0"/>
      <w:marBottom w:val="0"/>
      <w:divBdr>
        <w:top w:val="none" w:sz="0" w:space="0" w:color="auto"/>
        <w:left w:val="none" w:sz="0" w:space="0" w:color="auto"/>
        <w:bottom w:val="none" w:sz="0" w:space="0" w:color="auto"/>
        <w:right w:val="none" w:sz="0" w:space="0" w:color="auto"/>
      </w:divBdr>
    </w:div>
    <w:div w:id="155195955">
      <w:bodyDiv w:val="1"/>
      <w:marLeft w:val="0"/>
      <w:marRight w:val="0"/>
      <w:marTop w:val="0"/>
      <w:marBottom w:val="0"/>
      <w:divBdr>
        <w:top w:val="none" w:sz="0" w:space="0" w:color="auto"/>
        <w:left w:val="none" w:sz="0" w:space="0" w:color="auto"/>
        <w:bottom w:val="none" w:sz="0" w:space="0" w:color="auto"/>
        <w:right w:val="none" w:sz="0" w:space="0" w:color="auto"/>
      </w:divBdr>
      <w:divsChild>
        <w:div w:id="389505141">
          <w:marLeft w:val="0"/>
          <w:marRight w:val="0"/>
          <w:marTop w:val="0"/>
          <w:marBottom w:val="0"/>
          <w:divBdr>
            <w:top w:val="none" w:sz="0" w:space="0" w:color="auto"/>
            <w:left w:val="none" w:sz="0" w:space="0" w:color="auto"/>
            <w:bottom w:val="none" w:sz="0" w:space="0" w:color="auto"/>
            <w:right w:val="none" w:sz="0" w:space="0" w:color="auto"/>
          </w:divBdr>
        </w:div>
        <w:div w:id="2064406930">
          <w:marLeft w:val="0"/>
          <w:marRight w:val="0"/>
          <w:marTop w:val="0"/>
          <w:marBottom w:val="0"/>
          <w:divBdr>
            <w:top w:val="none" w:sz="0" w:space="0" w:color="auto"/>
            <w:left w:val="none" w:sz="0" w:space="0" w:color="auto"/>
            <w:bottom w:val="none" w:sz="0" w:space="0" w:color="auto"/>
            <w:right w:val="none" w:sz="0" w:space="0" w:color="auto"/>
          </w:divBdr>
        </w:div>
        <w:div w:id="1317995275">
          <w:marLeft w:val="0"/>
          <w:marRight w:val="0"/>
          <w:marTop w:val="0"/>
          <w:marBottom w:val="0"/>
          <w:divBdr>
            <w:top w:val="none" w:sz="0" w:space="0" w:color="auto"/>
            <w:left w:val="none" w:sz="0" w:space="0" w:color="auto"/>
            <w:bottom w:val="none" w:sz="0" w:space="0" w:color="auto"/>
            <w:right w:val="none" w:sz="0" w:space="0" w:color="auto"/>
          </w:divBdr>
        </w:div>
        <w:div w:id="953513658">
          <w:marLeft w:val="0"/>
          <w:marRight w:val="0"/>
          <w:marTop w:val="0"/>
          <w:marBottom w:val="0"/>
          <w:divBdr>
            <w:top w:val="none" w:sz="0" w:space="0" w:color="auto"/>
            <w:left w:val="none" w:sz="0" w:space="0" w:color="auto"/>
            <w:bottom w:val="none" w:sz="0" w:space="0" w:color="auto"/>
            <w:right w:val="none" w:sz="0" w:space="0" w:color="auto"/>
          </w:divBdr>
        </w:div>
        <w:div w:id="1775247337">
          <w:marLeft w:val="0"/>
          <w:marRight w:val="0"/>
          <w:marTop w:val="0"/>
          <w:marBottom w:val="0"/>
          <w:divBdr>
            <w:top w:val="none" w:sz="0" w:space="0" w:color="auto"/>
            <w:left w:val="none" w:sz="0" w:space="0" w:color="auto"/>
            <w:bottom w:val="none" w:sz="0" w:space="0" w:color="auto"/>
            <w:right w:val="none" w:sz="0" w:space="0" w:color="auto"/>
          </w:divBdr>
        </w:div>
        <w:div w:id="1238632703">
          <w:marLeft w:val="0"/>
          <w:marRight w:val="0"/>
          <w:marTop w:val="0"/>
          <w:marBottom w:val="0"/>
          <w:divBdr>
            <w:top w:val="none" w:sz="0" w:space="0" w:color="auto"/>
            <w:left w:val="none" w:sz="0" w:space="0" w:color="auto"/>
            <w:bottom w:val="none" w:sz="0" w:space="0" w:color="auto"/>
            <w:right w:val="none" w:sz="0" w:space="0" w:color="auto"/>
          </w:divBdr>
        </w:div>
        <w:div w:id="377583399">
          <w:marLeft w:val="0"/>
          <w:marRight w:val="0"/>
          <w:marTop w:val="0"/>
          <w:marBottom w:val="0"/>
          <w:divBdr>
            <w:top w:val="none" w:sz="0" w:space="0" w:color="auto"/>
            <w:left w:val="none" w:sz="0" w:space="0" w:color="auto"/>
            <w:bottom w:val="none" w:sz="0" w:space="0" w:color="auto"/>
            <w:right w:val="none" w:sz="0" w:space="0" w:color="auto"/>
          </w:divBdr>
        </w:div>
        <w:div w:id="910969733">
          <w:marLeft w:val="0"/>
          <w:marRight w:val="0"/>
          <w:marTop w:val="0"/>
          <w:marBottom w:val="0"/>
          <w:divBdr>
            <w:top w:val="none" w:sz="0" w:space="0" w:color="auto"/>
            <w:left w:val="none" w:sz="0" w:space="0" w:color="auto"/>
            <w:bottom w:val="none" w:sz="0" w:space="0" w:color="auto"/>
            <w:right w:val="none" w:sz="0" w:space="0" w:color="auto"/>
          </w:divBdr>
          <w:divsChild>
            <w:div w:id="1169251250">
              <w:marLeft w:val="0"/>
              <w:marRight w:val="0"/>
              <w:marTop w:val="0"/>
              <w:marBottom w:val="0"/>
              <w:divBdr>
                <w:top w:val="none" w:sz="0" w:space="0" w:color="auto"/>
                <w:left w:val="none" w:sz="0" w:space="0" w:color="auto"/>
                <w:bottom w:val="none" w:sz="0" w:space="0" w:color="auto"/>
                <w:right w:val="none" w:sz="0" w:space="0" w:color="auto"/>
              </w:divBdr>
            </w:div>
            <w:div w:id="1694528455">
              <w:marLeft w:val="0"/>
              <w:marRight w:val="0"/>
              <w:marTop w:val="0"/>
              <w:marBottom w:val="0"/>
              <w:divBdr>
                <w:top w:val="none" w:sz="0" w:space="0" w:color="auto"/>
                <w:left w:val="none" w:sz="0" w:space="0" w:color="auto"/>
                <w:bottom w:val="none" w:sz="0" w:space="0" w:color="auto"/>
                <w:right w:val="none" w:sz="0" w:space="0" w:color="auto"/>
              </w:divBdr>
            </w:div>
            <w:div w:id="1190682458">
              <w:marLeft w:val="0"/>
              <w:marRight w:val="0"/>
              <w:marTop w:val="0"/>
              <w:marBottom w:val="0"/>
              <w:divBdr>
                <w:top w:val="none" w:sz="0" w:space="0" w:color="auto"/>
                <w:left w:val="none" w:sz="0" w:space="0" w:color="auto"/>
                <w:bottom w:val="none" w:sz="0" w:space="0" w:color="auto"/>
                <w:right w:val="none" w:sz="0" w:space="0" w:color="auto"/>
              </w:divBdr>
            </w:div>
            <w:div w:id="740374700">
              <w:marLeft w:val="0"/>
              <w:marRight w:val="0"/>
              <w:marTop w:val="0"/>
              <w:marBottom w:val="0"/>
              <w:divBdr>
                <w:top w:val="none" w:sz="0" w:space="0" w:color="auto"/>
                <w:left w:val="none" w:sz="0" w:space="0" w:color="auto"/>
                <w:bottom w:val="none" w:sz="0" w:space="0" w:color="auto"/>
                <w:right w:val="none" w:sz="0" w:space="0" w:color="auto"/>
              </w:divBdr>
            </w:div>
          </w:divsChild>
        </w:div>
        <w:div w:id="1361933193">
          <w:marLeft w:val="0"/>
          <w:marRight w:val="0"/>
          <w:marTop w:val="0"/>
          <w:marBottom w:val="0"/>
          <w:divBdr>
            <w:top w:val="none" w:sz="0" w:space="0" w:color="auto"/>
            <w:left w:val="none" w:sz="0" w:space="0" w:color="auto"/>
            <w:bottom w:val="none" w:sz="0" w:space="0" w:color="auto"/>
            <w:right w:val="none" w:sz="0" w:space="0" w:color="auto"/>
          </w:divBdr>
        </w:div>
        <w:div w:id="1831750656">
          <w:marLeft w:val="0"/>
          <w:marRight w:val="0"/>
          <w:marTop w:val="0"/>
          <w:marBottom w:val="0"/>
          <w:divBdr>
            <w:top w:val="none" w:sz="0" w:space="0" w:color="auto"/>
            <w:left w:val="none" w:sz="0" w:space="0" w:color="auto"/>
            <w:bottom w:val="none" w:sz="0" w:space="0" w:color="auto"/>
            <w:right w:val="none" w:sz="0" w:space="0" w:color="auto"/>
          </w:divBdr>
        </w:div>
        <w:div w:id="1133787514">
          <w:marLeft w:val="0"/>
          <w:marRight w:val="0"/>
          <w:marTop w:val="0"/>
          <w:marBottom w:val="0"/>
          <w:divBdr>
            <w:top w:val="none" w:sz="0" w:space="0" w:color="auto"/>
            <w:left w:val="none" w:sz="0" w:space="0" w:color="auto"/>
            <w:bottom w:val="none" w:sz="0" w:space="0" w:color="auto"/>
            <w:right w:val="none" w:sz="0" w:space="0" w:color="auto"/>
          </w:divBdr>
        </w:div>
        <w:div w:id="532038799">
          <w:marLeft w:val="0"/>
          <w:marRight w:val="0"/>
          <w:marTop w:val="0"/>
          <w:marBottom w:val="0"/>
          <w:divBdr>
            <w:top w:val="none" w:sz="0" w:space="0" w:color="auto"/>
            <w:left w:val="none" w:sz="0" w:space="0" w:color="auto"/>
            <w:bottom w:val="none" w:sz="0" w:space="0" w:color="auto"/>
            <w:right w:val="none" w:sz="0" w:space="0" w:color="auto"/>
          </w:divBdr>
        </w:div>
        <w:div w:id="869218418">
          <w:marLeft w:val="0"/>
          <w:marRight w:val="0"/>
          <w:marTop w:val="0"/>
          <w:marBottom w:val="0"/>
          <w:divBdr>
            <w:top w:val="none" w:sz="0" w:space="0" w:color="auto"/>
            <w:left w:val="none" w:sz="0" w:space="0" w:color="auto"/>
            <w:bottom w:val="none" w:sz="0" w:space="0" w:color="auto"/>
            <w:right w:val="none" w:sz="0" w:space="0" w:color="auto"/>
          </w:divBdr>
        </w:div>
        <w:div w:id="2036035572">
          <w:marLeft w:val="0"/>
          <w:marRight w:val="0"/>
          <w:marTop w:val="0"/>
          <w:marBottom w:val="0"/>
          <w:divBdr>
            <w:top w:val="none" w:sz="0" w:space="0" w:color="auto"/>
            <w:left w:val="none" w:sz="0" w:space="0" w:color="auto"/>
            <w:bottom w:val="none" w:sz="0" w:space="0" w:color="auto"/>
            <w:right w:val="none" w:sz="0" w:space="0" w:color="auto"/>
          </w:divBdr>
        </w:div>
      </w:divsChild>
    </w:div>
    <w:div w:id="188420494">
      <w:bodyDiv w:val="1"/>
      <w:marLeft w:val="0"/>
      <w:marRight w:val="0"/>
      <w:marTop w:val="0"/>
      <w:marBottom w:val="0"/>
      <w:divBdr>
        <w:top w:val="none" w:sz="0" w:space="0" w:color="auto"/>
        <w:left w:val="none" w:sz="0" w:space="0" w:color="auto"/>
        <w:bottom w:val="none" w:sz="0" w:space="0" w:color="auto"/>
        <w:right w:val="none" w:sz="0" w:space="0" w:color="auto"/>
      </w:divBdr>
    </w:div>
    <w:div w:id="203296732">
      <w:bodyDiv w:val="1"/>
      <w:marLeft w:val="0"/>
      <w:marRight w:val="0"/>
      <w:marTop w:val="0"/>
      <w:marBottom w:val="0"/>
      <w:divBdr>
        <w:top w:val="none" w:sz="0" w:space="0" w:color="auto"/>
        <w:left w:val="none" w:sz="0" w:space="0" w:color="auto"/>
        <w:bottom w:val="none" w:sz="0" w:space="0" w:color="auto"/>
        <w:right w:val="none" w:sz="0" w:space="0" w:color="auto"/>
      </w:divBdr>
    </w:div>
    <w:div w:id="220796125">
      <w:bodyDiv w:val="1"/>
      <w:marLeft w:val="0"/>
      <w:marRight w:val="0"/>
      <w:marTop w:val="0"/>
      <w:marBottom w:val="0"/>
      <w:divBdr>
        <w:top w:val="none" w:sz="0" w:space="0" w:color="auto"/>
        <w:left w:val="none" w:sz="0" w:space="0" w:color="auto"/>
        <w:bottom w:val="none" w:sz="0" w:space="0" w:color="auto"/>
        <w:right w:val="none" w:sz="0" w:space="0" w:color="auto"/>
      </w:divBdr>
    </w:div>
    <w:div w:id="228156818">
      <w:bodyDiv w:val="1"/>
      <w:marLeft w:val="0"/>
      <w:marRight w:val="0"/>
      <w:marTop w:val="0"/>
      <w:marBottom w:val="0"/>
      <w:divBdr>
        <w:top w:val="none" w:sz="0" w:space="0" w:color="auto"/>
        <w:left w:val="none" w:sz="0" w:space="0" w:color="auto"/>
        <w:bottom w:val="none" w:sz="0" w:space="0" w:color="auto"/>
        <w:right w:val="none" w:sz="0" w:space="0" w:color="auto"/>
      </w:divBdr>
    </w:div>
    <w:div w:id="236090804">
      <w:bodyDiv w:val="1"/>
      <w:marLeft w:val="0"/>
      <w:marRight w:val="0"/>
      <w:marTop w:val="0"/>
      <w:marBottom w:val="0"/>
      <w:divBdr>
        <w:top w:val="none" w:sz="0" w:space="0" w:color="auto"/>
        <w:left w:val="none" w:sz="0" w:space="0" w:color="auto"/>
        <w:bottom w:val="none" w:sz="0" w:space="0" w:color="auto"/>
        <w:right w:val="none" w:sz="0" w:space="0" w:color="auto"/>
      </w:divBdr>
    </w:div>
    <w:div w:id="239756602">
      <w:bodyDiv w:val="1"/>
      <w:marLeft w:val="0"/>
      <w:marRight w:val="0"/>
      <w:marTop w:val="0"/>
      <w:marBottom w:val="0"/>
      <w:divBdr>
        <w:top w:val="none" w:sz="0" w:space="0" w:color="auto"/>
        <w:left w:val="none" w:sz="0" w:space="0" w:color="auto"/>
        <w:bottom w:val="none" w:sz="0" w:space="0" w:color="auto"/>
        <w:right w:val="none" w:sz="0" w:space="0" w:color="auto"/>
      </w:divBdr>
    </w:div>
    <w:div w:id="244843450">
      <w:bodyDiv w:val="1"/>
      <w:marLeft w:val="0"/>
      <w:marRight w:val="0"/>
      <w:marTop w:val="0"/>
      <w:marBottom w:val="0"/>
      <w:divBdr>
        <w:top w:val="none" w:sz="0" w:space="0" w:color="auto"/>
        <w:left w:val="none" w:sz="0" w:space="0" w:color="auto"/>
        <w:bottom w:val="none" w:sz="0" w:space="0" w:color="auto"/>
        <w:right w:val="none" w:sz="0" w:space="0" w:color="auto"/>
      </w:divBdr>
    </w:div>
    <w:div w:id="247814131">
      <w:bodyDiv w:val="1"/>
      <w:marLeft w:val="0"/>
      <w:marRight w:val="0"/>
      <w:marTop w:val="0"/>
      <w:marBottom w:val="0"/>
      <w:divBdr>
        <w:top w:val="none" w:sz="0" w:space="0" w:color="auto"/>
        <w:left w:val="none" w:sz="0" w:space="0" w:color="auto"/>
        <w:bottom w:val="none" w:sz="0" w:space="0" w:color="auto"/>
        <w:right w:val="none" w:sz="0" w:space="0" w:color="auto"/>
      </w:divBdr>
    </w:div>
    <w:div w:id="259685561">
      <w:bodyDiv w:val="1"/>
      <w:marLeft w:val="0"/>
      <w:marRight w:val="0"/>
      <w:marTop w:val="0"/>
      <w:marBottom w:val="0"/>
      <w:divBdr>
        <w:top w:val="none" w:sz="0" w:space="0" w:color="auto"/>
        <w:left w:val="none" w:sz="0" w:space="0" w:color="auto"/>
        <w:bottom w:val="none" w:sz="0" w:space="0" w:color="auto"/>
        <w:right w:val="none" w:sz="0" w:space="0" w:color="auto"/>
      </w:divBdr>
    </w:div>
    <w:div w:id="278755588">
      <w:bodyDiv w:val="1"/>
      <w:marLeft w:val="0"/>
      <w:marRight w:val="0"/>
      <w:marTop w:val="0"/>
      <w:marBottom w:val="0"/>
      <w:divBdr>
        <w:top w:val="none" w:sz="0" w:space="0" w:color="auto"/>
        <w:left w:val="none" w:sz="0" w:space="0" w:color="auto"/>
        <w:bottom w:val="none" w:sz="0" w:space="0" w:color="auto"/>
        <w:right w:val="none" w:sz="0" w:space="0" w:color="auto"/>
      </w:divBdr>
    </w:div>
    <w:div w:id="301154847">
      <w:bodyDiv w:val="1"/>
      <w:marLeft w:val="0"/>
      <w:marRight w:val="0"/>
      <w:marTop w:val="0"/>
      <w:marBottom w:val="0"/>
      <w:divBdr>
        <w:top w:val="none" w:sz="0" w:space="0" w:color="auto"/>
        <w:left w:val="none" w:sz="0" w:space="0" w:color="auto"/>
        <w:bottom w:val="none" w:sz="0" w:space="0" w:color="auto"/>
        <w:right w:val="none" w:sz="0" w:space="0" w:color="auto"/>
      </w:divBdr>
    </w:div>
    <w:div w:id="335571533">
      <w:bodyDiv w:val="1"/>
      <w:marLeft w:val="0"/>
      <w:marRight w:val="0"/>
      <w:marTop w:val="0"/>
      <w:marBottom w:val="0"/>
      <w:divBdr>
        <w:top w:val="none" w:sz="0" w:space="0" w:color="auto"/>
        <w:left w:val="none" w:sz="0" w:space="0" w:color="auto"/>
        <w:bottom w:val="none" w:sz="0" w:space="0" w:color="auto"/>
        <w:right w:val="none" w:sz="0" w:space="0" w:color="auto"/>
      </w:divBdr>
    </w:div>
    <w:div w:id="359010846">
      <w:bodyDiv w:val="1"/>
      <w:marLeft w:val="0"/>
      <w:marRight w:val="0"/>
      <w:marTop w:val="0"/>
      <w:marBottom w:val="0"/>
      <w:divBdr>
        <w:top w:val="none" w:sz="0" w:space="0" w:color="auto"/>
        <w:left w:val="none" w:sz="0" w:space="0" w:color="auto"/>
        <w:bottom w:val="none" w:sz="0" w:space="0" w:color="auto"/>
        <w:right w:val="none" w:sz="0" w:space="0" w:color="auto"/>
      </w:divBdr>
    </w:div>
    <w:div w:id="380593651">
      <w:bodyDiv w:val="1"/>
      <w:marLeft w:val="0"/>
      <w:marRight w:val="0"/>
      <w:marTop w:val="0"/>
      <w:marBottom w:val="0"/>
      <w:divBdr>
        <w:top w:val="none" w:sz="0" w:space="0" w:color="auto"/>
        <w:left w:val="none" w:sz="0" w:space="0" w:color="auto"/>
        <w:bottom w:val="none" w:sz="0" w:space="0" w:color="auto"/>
        <w:right w:val="none" w:sz="0" w:space="0" w:color="auto"/>
      </w:divBdr>
      <w:divsChild>
        <w:div w:id="827480512">
          <w:marLeft w:val="0"/>
          <w:marRight w:val="0"/>
          <w:marTop w:val="0"/>
          <w:marBottom w:val="0"/>
          <w:divBdr>
            <w:top w:val="none" w:sz="0" w:space="0" w:color="auto"/>
            <w:left w:val="none" w:sz="0" w:space="0" w:color="auto"/>
            <w:bottom w:val="none" w:sz="0" w:space="0" w:color="auto"/>
            <w:right w:val="none" w:sz="0" w:space="0" w:color="auto"/>
          </w:divBdr>
        </w:div>
        <w:div w:id="795148779">
          <w:marLeft w:val="0"/>
          <w:marRight w:val="0"/>
          <w:marTop w:val="0"/>
          <w:marBottom w:val="0"/>
          <w:divBdr>
            <w:top w:val="none" w:sz="0" w:space="0" w:color="auto"/>
            <w:left w:val="none" w:sz="0" w:space="0" w:color="auto"/>
            <w:bottom w:val="none" w:sz="0" w:space="0" w:color="auto"/>
            <w:right w:val="none" w:sz="0" w:space="0" w:color="auto"/>
          </w:divBdr>
        </w:div>
        <w:div w:id="173151321">
          <w:marLeft w:val="0"/>
          <w:marRight w:val="0"/>
          <w:marTop w:val="0"/>
          <w:marBottom w:val="0"/>
          <w:divBdr>
            <w:top w:val="none" w:sz="0" w:space="0" w:color="auto"/>
            <w:left w:val="none" w:sz="0" w:space="0" w:color="auto"/>
            <w:bottom w:val="none" w:sz="0" w:space="0" w:color="auto"/>
            <w:right w:val="none" w:sz="0" w:space="0" w:color="auto"/>
          </w:divBdr>
        </w:div>
        <w:div w:id="418527272">
          <w:marLeft w:val="0"/>
          <w:marRight w:val="0"/>
          <w:marTop w:val="0"/>
          <w:marBottom w:val="0"/>
          <w:divBdr>
            <w:top w:val="none" w:sz="0" w:space="0" w:color="auto"/>
            <w:left w:val="none" w:sz="0" w:space="0" w:color="auto"/>
            <w:bottom w:val="none" w:sz="0" w:space="0" w:color="auto"/>
            <w:right w:val="none" w:sz="0" w:space="0" w:color="auto"/>
          </w:divBdr>
        </w:div>
        <w:div w:id="1989900314">
          <w:marLeft w:val="0"/>
          <w:marRight w:val="0"/>
          <w:marTop w:val="0"/>
          <w:marBottom w:val="0"/>
          <w:divBdr>
            <w:top w:val="none" w:sz="0" w:space="0" w:color="auto"/>
            <w:left w:val="none" w:sz="0" w:space="0" w:color="auto"/>
            <w:bottom w:val="none" w:sz="0" w:space="0" w:color="auto"/>
            <w:right w:val="none" w:sz="0" w:space="0" w:color="auto"/>
          </w:divBdr>
        </w:div>
      </w:divsChild>
    </w:div>
    <w:div w:id="411511204">
      <w:bodyDiv w:val="1"/>
      <w:marLeft w:val="0"/>
      <w:marRight w:val="0"/>
      <w:marTop w:val="0"/>
      <w:marBottom w:val="0"/>
      <w:divBdr>
        <w:top w:val="none" w:sz="0" w:space="0" w:color="auto"/>
        <w:left w:val="none" w:sz="0" w:space="0" w:color="auto"/>
        <w:bottom w:val="none" w:sz="0" w:space="0" w:color="auto"/>
        <w:right w:val="none" w:sz="0" w:space="0" w:color="auto"/>
      </w:divBdr>
    </w:div>
    <w:div w:id="423496794">
      <w:bodyDiv w:val="1"/>
      <w:marLeft w:val="0"/>
      <w:marRight w:val="0"/>
      <w:marTop w:val="0"/>
      <w:marBottom w:val="0"/>
      <w:divBdr>
        <w:top w:val="none" w:sz="0" w:space="0" w:color="auto"/>
        <w:left w:val="none" w:sz="0" w:space="0" w:color="auto"/>
        <w:bottom w:val="none" w:sz="0" w:space="0" w:color="auto"/>
        <w:right w:val="none" w:sz="0" w:space="0" w:color="auto"/>
      </w:divBdr>
    </w:div>
    <w:div w:id="429280784">
      <w:bodyDiv w:val="1"/>
      <w:marLeft w:val="0"/>
      <w:marRight w:val="0"/>
      <w:marTop w:val="0"/>
      <w:marBottom w:val="0"/>
      <w:divBdr>
        <w:top w:val="none" w:sz="0" w:space="0" w:color="auto"/>
        <w:left w:val="none" w:sz="0" w:space="0" w:color="auto"/>
        <w:bottom w:val="none" w:sz="0" w:space="0" w:color="auto"/>
        <w:right w:val="none" w:sz="0" w:space="0" w:color="auto"/>
      </w:divBdr>
    </w:div>
    <w:div w:id="441993858">
      <w:bodyDiv w:val="1"/>
      <w:marLeft w:val="0"/>
      <w:marRight w:val="0"/>
      <w:marTop w:val="0"/>
      <w:marBottom w:val="0"/>
      <w:divBdr>
        <w:top w:val="none" w:sz="0" w:space="0" w:color="auto"/>
        <w:left w:val="none" w:sz="0" w:space="0" w:color="auto"/>
        <w:bottom w:val="none" w:sz="0" w:space="0" w:color="auto"/>
        <w:right w:val="none" w:sz="0" w:space="0" w:color="auto"/>
      </w:divBdr>
    </w:div>
    <w:div w:id="445546358">
      <w:bodyDiv w:val="1"/>
      <w:marLeft w:val="0"/>
      <w:marRight w:val="0"/>
      <w:marTop w:val="0"/>
      <w:marBottom w:val="0"/>
      <w:divBdr>
        <w:top w:val="none" w:sz="0" w:space="0" w:color="auto"/>
        <w:left w:val="none" w:sz="0" w:space="0" w:color="auto"/>
        <w:bottom w:val="none" w:sz="0" w:space="0" w:color="auto"/>
        <w:right w:val="none" w:sz="0" w:space="0" w:color="auto"/>
      </w:divBdr>
      <w:divsChild>
        <w:div w:id="926960192">
          <w:marLeft w:val="0"/>
          <w:marRight w:val="0"/>
          <w:marTop w:val="0"/>
          <w:marBottom w:val="0"/>
          <w:divBdr>
            <w:top w:val="none" w:sz="0" w:space="0" w:color="auto"/>
            <w:left w:val="none" w:sz="0" w:space="0" w:color="auto"/>
            <w:bottom w:val="none" w:sz="0" w:space="0" w:color="auto"/>
            <w:right w:val="none" w:sz="0" w:space="0" w:color="auto"/>
          </w:divBdr>
        </w:div>
        <w:div w:id="100684746">
          <w:marLeft w:val="0"/>
          <w:marRight w:val="0"/>
          <w:marTop w:val="0"/>
          <w:marBottom w:val="0"/>
          <w:divBdr>
            <w:top w:val="none" w:sz="0" w:space="0" w:color="auto"/>
            <w:left w:val="none" w:sz="0" w:space="0" w:color="auto"/>
            <w:bottom w:val="none" w:sz="0" w:space="0" w:color="auto"/>
            <w:right w:val="none" w:sz="0" w:space="0" w:color="auto"/>
          </w:divBdr>
        </w:div>
      </w:divsChild>
    </w:div>
    <w:div w:id="455879976">
      <w:bodyDiv w:val="1"/>
      <w:marLeft w:val="0"/>
      <w:marRight w:val="0"/>
      <w:marTop w:val="0"/>
      <w:marBottom w:val="0"/>
      <w:divBdr>
        <w:top w:val="none" w:sz="0" w:space="0" w:color="auto"/>
        <w:left w:val="none" w:sz="0" w:space="0" w:color="auto"/>
        <w:bottom w:val="none" w:sz="0" w:space="0" w:color="auto"/>
        <w:right w:val="none" w:sz="0" w:space="0" w:color="auto"/>
      </w:divBdr>
    </w:div>
    <w:div w:id="467212485">
      <w:bodyDiv w:val="1"/>
      <w:marLeft w:val="0"/>
      <w:marRight w:val="0"/>
      <w:marTop w:val="0"/>
      <w:marBottom w:val="0"/>
      <w:divBdr>
        <w:top w:val="none" w:sz="0" w:space="0" w:color="auto"/>
        <w:left w:val="none" w:sz="0" w:space="0" w:color="auto"/>
        <w:bottom w:val="none" w:sz="0" w:space="0" w:color="auto"/>
        <w:right w:val="none" w:sz="0" w:space="0" w:color="auto"/>
      </w:divBdr>
    </w:div>
    <w:div w:id="487332097">
      <w:bodyDiv w:val="1"/>
      <w:marLeft w:val="0"/>
      <w:marRight w:val="0"/>
      <w:marTop w:val="0"/>
      <w:marBottom w:val="0"/>
      <w:divBdr>
        <w:top w:val="none" w:sz="0" w:space="0" w:color="auto"/>
        <w:left w:val="none" w:sz="0" w:space="0" w:color="auto"/>
        <w:bottom w:val="none" w:sz="0" w:space="0" w:color="auto"/>
        <w:right w:val="none" w:sz="0" w:space="0" w:color="auto"/>
      </w:divBdr>
    </w:div>
    <w:div w:id="494296746">
      <w:bodyDiv w:val="1"/>
      <w:marLeft w:val="0"/>
      <w:marRight w:val="0"/>
      <w:marTop w:val="0"/>
      <w:marBottom w:val="0"/>
      <w:divBdr>
        <w:top w:val="none" w:sz="0" w:space="0" w:color="auto"/>
        <w:left w:val="none" w:sz="0" w:space="0" w:color="auto"/>
        <w:bottom w:val="none" w:sz="0" w:space="0" w:color="auto"/>
        <w:right w:val="none" w:sz="0" w:space="0" w:color="auto"/>
      </w:divBdr>
      <w:divsChild>
        <w:div w:id="1925406954">
          <w:marLeft w:val="0"/>
          <w:marRight w:val="0"/>
          <w:marTop w:val="0"/>
          <w:marBottom w:val="0"/>
          <w:divBdr>
            <w:top w:val="none" w:sz="0" w:space="0" w:color="auto"/>
            <w:left w:val="none" w:sz="0" w:space="0" w:color="auto"/>
            <w:bottom w:val="none" w:sz="0" w:space="0" w:color="auto"/>
            <w:right w:val="none" w:sz="0" w:space="0" w:color="auto"/>
          </w:divBdr>
          <w:divsChild>
            <w:div w:id="535582922">
              <w:marLeft w:val="0"/>
              <w:marRight w:val="0"/>
              <w:marTop w:val="0"/>
              <w:marBottom w:val="0"/>
              <w:divBdr>
                <w:top w:val="none" w:sz="0" w:space="0" w:color="auto"/>
                <w:left w:val="none" w:sz="0" w:space="0" w:color="auto"/>
                <w:bottom w:val="none" w:sz="0" w:space="0" w:color="auto"/>
                <w:right w:val="none" w:sz="0" w:space="0" w:color="auto"/>
              </w:divBdr>
              <w:divsChild>
                <w:div w:id="6970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4842">
      <w:bodyDiv w:val="1"/>
      <w:marLeft w:val="0"/>
      <w:marRight w:val="0"/>
      <w:marTop w:val="0"/>
      <w:marBottom w:val="0"/>
      <w:divBdr>
        <w:top w:val="none" w:sz="0" w:space="0" w:color="auto"/>
        <w:left w:val="none" w:sz="0" w:space="0" w:color="auto"/>
        <w:bottom w:val="none" w:sz="0" w:space="0" w:color="auto"/>
        <w:right w:val="none" w:sz="0" w:space="0" w:color="auto"/>
      </w:divBdr>
      <w:divsChild>
        <w:div w:id="1914463120">
          <w:marLeft w:val="0"/>
          <w:marRight w:val="0"/>
          <w:marTop w:val="0"/>
          <w:marBottom w:val="0"/>
          <w:divBdr>
            <w:top w:val="none" w:sz="0" w:space="0" w:color="auto"/>
            <w:left w:val="none" w:sz="0" w:space="0" w:color="auto"/>
            <w:bottom w:val="none" w:sz="0" w:space="0" w:color="auto"/>
            <w:right w:val="none" w:sz="0" w:space="0" w:color="auto"/>
          </w:divBdr>
          <w:divsChild>
            <w:div w:id="1625968178">
              <w:marLeft w:val="0"/>
              <w:marRight w:val="0"/>
              <w:marTop w:val="0"/>
              <w:marBottom w:val="0"/>
              <w:divBdr>
                <w:top w:val="none" w:sz="0" w:space="0" w:color="auto"/>
                <w:left w:val="none" w:sz="0" w:space="0" w:color="auto"/>
                <w:bottom w:val="none" w:sz="0" w:space="0" w:color="auto"/>
                <w:right w:val="none" w:sz="0" w:space="0" w:color="auto"/>
              </w:divBdr>
              <w:divsChild>
                <w:div w:id="17759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92717">
      <w:bodyDiv w:val="1"/>
      <w:marLeft w:val="0"/>
      <w:marRight w:val="0"/>
      <w:marTop w:val="0"/>
      <w:marBottom w:val="0"/>
      <w:divBdr>
        <w:top w:val="none" w:sz="0" w:space="0" w:color="auto"/>
        <w:left w:val="none" w:sz="0" w:space="0" w:color="auto"/>
        <w:bottom w:val="none" w:sz="0" w:space="0" w:color="auto"/>
        <w:right w:val="none" w:sz="0" w:space="0" w:color="auto"/>
      </w:divBdr>
    </w:div>
    <w:div w:id="542793954">
      <w:bodyDiv w:val="1"/>
      <w:marLeft w:val="0"/>
      <w:marRight w:val="0"/>
      <w:marTop w:val="0"/>
      <w:marBottom w:val="0"/>
      <w:divBdr>
        <w:top w:val="none" w:sz="0" w:space="0" w:color="auto"/>
        <w:left w:val="none" w:sz="0" w:space="0" w:color="auto"/>
        <w:bottom w:val="none" w:sz="0" w:space="0" w:color="auto"/>
        <w:right w:val="none" w:sz="0" w:space="0" w:color="auto"/>
      </w:divBdr>
      <w:divsChild>
        <w:div w:id="349332117">
          <w:marLeft w:val="0"/>
          <w:marRight w:val="0"/>
          <w:marTop w:val="0"/>
          <w:marBottom w:val="0"/>
          <w:divBdr>
            <w:top w:val="none" w:sz="0" w:space="0" w:color="auto"/>
            <w:left w:val="none" w:sz="0" w:space="0" w:color="auto"/>
            <w:bottom w:val="none" w:sz="0" w:space="0" w:color="auto"/>
            <w:right w:val="none" w:sz="0" w:space="0" w:color="auto"/>
          </w:divBdr>
        </w:div>
        <w:div w:id="370962754">
          <w:marLeft w:val="0"/>
          <w:marRight w:val="0"/>
          <w:marTop w:val="0"/>
          <w:marBottom w:val="0"/>
          <w:divBdr>
            <w:top w:val="none" w:sz="0" w:space="0" w:color="auto"/>
            <w:left w:val="none" w:sz="0" w:space="0" w:color="auto"/>
            <w:bottom w:val="none" w:sz="0" w:space="0" w:color="auto"/>
            <w:right w:val="none" w:sz="0" w:space="0" w:color="auto"/>
          </w:divBdr>
        </w:div>
        <w:div w:id="431559592">
          <w:marLeft w:val="0"/>
          <w:marRight w:val="0"/>
          <w:marTop w:val="0"/>
          <w:marBottom w:val="0"/>
          <w:divBdr>
            <w:top w:val="none" w:sz="0" w:space="0" w:color="auto"/>
            <w:left w:val="none" w:sz="0" w:space="0" w:color="auto"/>
            <w:bottom w:val="none" w:sz="0" w:space="0" w:color="auto"/>
            <w:right w:val="none" w:sz="0" w:space="0" w:color="auto"/>
          </w:divBdr>
        </w:div>
      </w:divsChild>
    </w:div>
    <w:div w:id="566650936">
      <w:bodyDiv w:val="1"/>
      <w:marLeft w:val="0"/>
      <w:marRight w:val="0"/>
      <w:marTop w:val="0"/>
      <w:marBottom w:val="0"/>
      <w:divBdr>
        <w:top w:val="none" w:sz="0" w:space="0" w:color="auto"/>
        <w:left w:val="none" w:sz="0" w:space="0" w:color="auto"/>
        <w:bottom w:val="none" w:sz="0" w:space="0" w:color="auto"/>
        <w:right w:val="none" w:sz="0" w:space="0" w:color="auto"/>
      </w:divBdr>
    </w:div>
    <w:div w:id="582568339">
      <w:bodyDiv w:val="1"/>
      <w:marLeft w:val="0"/>
      <w:marRight w:val="0"/>
      <w:marTop w:val="0"/>
      <w:marBottom w:val="0"/>
      <w:divBdr>
        <w:top w:val="none" w:sz="0" w:space="0" w:color="auto"/>
        <w:left w:val="none" w:sz="0" w:space="0" w:color="auto"/>
        <w:bottom w:val="none" w:sz="0" w:space="0" w:color="auto"/>
        <w:right w:val="none" w:sz="0" w:space="0" w:color="auto"/>
      </w:divBdr>
    </w:div>
    <w:div w:id="592325592">
      <w:bodyDiv w:val="1"/>
      <w:marLeft w:val="0"/>
      <w:marRight w:val="0"/>
      <w:marTop w:val="0"/>
      <w:marBottom w:val="0"/>
      <w:divBdr>
        <w:top w:val="none" w:sz="0" w:space="0" w:color="auto"/>
        <w:left w:val="none" w:sz="0" w:space="0" w:color="auto"/>
        <w:bottom w:val="none" w:sz="0" w:space="0" w:color="auto"/>
        <w:right w:val="none" w:sz="0" w:space="0" w:color="auto"/>
      </w:divBdr>
    </w:div>
    <w:div w:id="595675022">
      <w:bodyDiv w:val="1"/>
      <w:marLeft w:val="0"/>
      <w:marRight w:val="0"/>
      <w:marTop w:val="0"/>
      <w:marBottom w:val="0"/>
      <w:divBdr>
        <w:top w:val="none" w:sz="0" w:space="0" w:color="auto"/>
        <w:left w:val="none" w:sz="0" w:space="0" w:color="auto"/>
        <w:bottom w:val="none" w:sz="0" w:space="0" w:color="auto"/>
        <w:right w:val="none" w:sz="0" w:space="0" w:color="auto"/>
      </w:divBdr>
    </w:div>
    <w:div w:id="666328992">
      <w:bodyDiv w:val="1"/>
      <w:marLeft w:val="0"/>
      <w:marRight w:val="0"/>
      <w:marTop w:val="0"/>
      <w:marBottom w:val="0"/>
      <w:divBdr>
        <w:top w:val="none" w:sz="0" w:space="0" w:color="auto"/>
        <w:left w:val="none" w:sz="0" w:space="0" w:color="auto"/>
        <w:bottom w:val="none" w:sz="0" w:space="0" w:color="auto"/>
        <w:right w:val="none" w:sz="0" w:space="0" w:color="auto"/>
      </w:divBdr>
      <w:divsChild>
        <w:div w:id="906768525">
          <w:marLeft w:val="0"/>
          <w:marRight w:val="0"/>
          <w:marTop w:val="0"/>
          <w:marBottom w:val="0"/>
          <w:divBdr>
            <w:top w:val="none" w:sz="0" w:space="0" w:color="auto"/>
            <w:left w:val="none" w:sz="0" w:space="0" w:color="auto"/>
            <w:bottom w:val="none" w:sz="0" w:space="0" w:color="auto"/>
            <w:right w:val="none" w:sz="0" w:space="0" w:color="auto"/>
          </w:divBdr>
          <w:divsChild>
            <w:div w:id="793526241">
              <w:marLeft w:val="0"/>
              <w:marRight w:val="0"/>
              <w:marTop w:val="0"/>
              <w:marBottom w:val="0"/>
              <w:divBdr>
                <w:top w:val="none" w:sz="0" w:space="0" w:color="auto"/>
                <w:left w:val="none" w:sz="0" w:space="0" w:color="auto"/>
                <w:bottom w:val="none" w:sz="0" w:space="0" w:color="auto"/>
                <w:right w:val="none" w:sz="0" w:space="0" w:color="auto"/>
              </w:divBdr>
              <w:divsChild>
                <w:div w:id="9987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0578">
      <w:bodyDiv w:val="1"/>
      <w:marLeft w:val="0"/>
      <w:marRight w:val="0"/>
      <w:marTop w:val="0"/>
      <w:marBottom w:val="0"/>
      <w:divBdr>
        <w:top w:val="none" w:sz="0" w:space="0" w:color="auto"/>
        <w:left w:val="none" w:sz="0" w:space="0" w:color="auto"/>
        <w:bottom w:val="none" w:sz="0" w:space="0" w:color="auto"/>
        <w:right w:val="none" w:sz="0" w:space="0" w:color="auto"/>
      </w:divBdr>
    </w:div>
    <w:div w:id="691762784">
      <w:bodyDiv w:val="1"/>
      <w:marLeft w:val="0"/>
      <w:marRight w:val="0"/>
      <w:marTop w:val="0"/>
      <w:marBottom w:val="0"/>
      <w:divBdr>
        <w:top w:val="none" w:sz="0" w:space="0" w:color="auto"/>
        <w:left w:val="none" w:sz="0" w:space="0" w:color="auto"/>
        <w:bottom w:val="none" w:sz="0" w:space="0" w:color="auto"/>
        <w:right w:val="none" w:sz="0" w:space="0" w:color="auto"/>
      </w:divBdr>
    </w:div>
    <w:div w:id="705374381">
      <w:bodyDiv w:val="1"/>
      <w:marLeft w:val="0"/>
      <w:marRight w:val="0"/>
      <w:marTop w:val="0"/>
      <w:marBottom w:val="0"/>
      <w:divBdr>
        <w:top w:val="none" w:sz="0" w:space="0" w:color="auto"/>
        <w:left w:val="none" w:sz="0" w:space="0" w:color="auto"/>
        <w:bottom w:val="none" w:sz="0" w:space="0" w:color="auto"/>
        <w:right w:val="none" w:sz="0" w:space="0" w:color="auto"/>
      </w:divBdr>
    </w:div>
    <w:div w:id="716667744">
      <w:bodyDiv w:val="1"/>
      <w:marLeft w:val="0"/>
      <w:marRight w:val="0"/>
      <w:marTop w:val="0"/>
      <w:marBottom w:val="0"/>
      <w:divBdr>
        <w:top w:val="none" w:sz="0" w:space="0" w:color="auto"/>
        <w:left w:val="none" w:sz="0" w:space="0" w:color="auto"/>
        <w:bottom w:val="none" w:sz="0" w:space="0" w:color="auto"/>
        <w:right w:val="none" w:sz="0" w:space="0" w:color="auto"/>
      </w:divBdr>
    </w:div>
    <w:div w:id="730075549">
      <w:bodyDiv w:val="1"/>
      <w:marLeft w:val="0"/>
      <w:marRight w:val="0"/>
      <w:marTop w:val="0"/>
      <w:marBottom w:val="0"/>
      <w:divBdr>
        <w:top w:val="none" w:sz="0" w:space="0" w:color="auto"/>
        <w:left w:val="none" w:sz="0" w:space="0" w:color="auto"/>
        <w:bottom w:val="none" w:sz="0" w:space="0" w:color="auto"/>
        <w:right w:val="none" w:sz="0" w:space="0" w:color="auto"/>
      </w:divBdr>
    </w:div>
    <w:div w:id="753279393">
      <w:bodyDiv w:val="1"/>
      <w:marLeft w:val="0"/>
      <w:marRight w:val="0"/>
      <w:marTop w:val="0"/>
      <w:marBottom w:val="0"/>
      <w:divBdr>
        <w:top w:val="none" w:sz="0" w:space="0" w:color="auto"/>
        <w:left w:val="none" w:sz="0" w:space="0" w:color="auto"/>
        <w:bottom w:val="none" w:sz="0" w:space="0" w:color="auto"/>
        <w:right w:val="none" w:sz="0" w:space="0" w:color="auto"/>
      </w:divBdr>
    </w:div>
    <w:div w:id="755518836">
      <w:bodyDiv w:val="1"/>
      <w:marLeft w:val="0"/>
      <w:marRight w:val="0"/>
      <w:marTop w:val="0"/>
      <w:marBottom w:val="0"/>
      <w:divBdr>
        <w:top w:val="none" w:sz="0" w:space="0" w:color="auto"/>
        <w:left w:val="none" w:sz="0" w:space="0" w:color="auto"/>
        <w:bottom w:val="none" w:sz="0" w:space="0" w:color="auto"/>
        <w:right w:val="none" w:sz="0" w:space="0" w:color="auto"/>
      </w:divBdr>
    </w:div>
    <w:div w:id="761029308">
      <w:bodyDiv w:val="1"/>
      <w:marLeft w:val="0"/>
      <w:marRight w:val="0"/>
      <w:marTop w:val="0"/>
      <w:marBottom w:val="0"/>
      <w:divBdr>
        <w:top w:val="none" w:sz="0" w:space="0" w:color="auto"/>
        <w:left w:val="none" w:sz="0" w:space="0" w:color="auto"/>
        <w:bottom w:val="none" w:sz="0" w:space="0" w:color="auto"/>
        <w:right w:val="none" w:sz="0" w:space="0" w:color="auto"/>
      </w:divBdr>
    </w:div>
    <w:div w:id="763846481">
      <w:bodyDiv w:val="1"/>
      <w:marLeft w:val="0"/>
      <w:marRight w:val="0"/>
      <w:marTop w:val="0"/>
      <w:marBottom w:val="0"/>
      <w:divBdr>
        <w:top w:val="none" w:sz="0" w:space="0" w:color="auto"/>
        <w:left w:val="none" w:sz="0" w:space="0" w:color="auto"/>
        <w:bottom w:val="none" w:sz="0" w:space="0" w:color="auto"/>
        <w:right w:val="none" w:sz="0" w:space="0" w:color="auto"/>
      </w:divBdr>
    </w:div>
    <w:div w:id="775178984">
      <w:bodyDiv w:val="1"/>
      <w:marLeft w:val="0"/>
      <w:marRight w:val="0"/>
      <w:marTop w:val="0"/>
      <w:marBottom w:val="0"/>
      <w:divBdr>
        <w:top w:val="none" w:sz="0" w:space="0" w:color="auto"/>
        <w:left w:val="none" w:sz="0" w:space="0" w:color="auto"/>
        <w:bottom w:val="none" w:sz="0" w:space="0" w:color="auto"/>
        <w:right w:val="none" w:sz="0" w:space="0" w:color="auto"/>
      </w:divBdr>
    </w:div>
    <w:div w:id="779377715">
      <w:bodyDiv w:val="1"/>
      <w:marLeft w:val="0"/>
      <w:marRight w:val="0"/>
      <w:marTop w:val="0"/>
      <w:marBottom w:val="0"/>
      <w:divBdr>
        <w:top w:val="none" w:sz="0" w:space="0" w:color="auto"/>
        <w:left w:val="none" w:sz="0" w:space="0" w:color="auto"/>
        <w:bottom w:val="none" w:sz="0" w:space="0" w:color="auto"/>
        <w:right w:val="none" w:sz="0" w:space="0" w:color="auto"/>
      </w:divBdr>
    </w:div>
    <w:div w:id="784038715">
      <w:bodyDiv w:val="1"/>
      <w:marLeft w:val="0"/>
      <w:marRight w:val="0"/>
      <w:marTop w:val="0"/>
      <w:marBottom w:val="0"/>
      <w:divBdr>
        <w:top w:val="none" w:sz="0" w:space="0" w:color="auto"/>
        <w:left w:val="none" w:sz="0" w:space="0" w:color="auto"/>
        <w:bottom w:val="none" w:sz="0" w:space="0" w:color="auto"/>
        <w:right w:val="none" w:sz="0" w:space="0" w:color="auto"/>
      </w:divBdr>
    </w:div>
    <w:div w:id="795686495">
      <w:bodyDiv w:val="1"/>
      <w:marLeft w:val="0"/>
      <w:marRight w:val="0"/>
      <w:marTop w:val="0"/>
      <w:marBottom w:val="0"/>
      <w:divBdr>
        <w:top w:val="none" w:sz="0" w:space="0" w:color="auto"/>
        <w:left w:val="none" w:sz="0" w:space="0" w:color="auto"/>
        <w:bottom w:val="none" w:sz="0" w:space="0" w:color="auto"/>
        <w:right w:val="none" w:sz="0" w:space="0" w:color="auto"/>
      </w:divBdr>
    </w:div>
    <w:div w:id="875316846">
      <w:bodyDiv w:val="1"/>
      <w:marLeft w:val="0"/>
      <w:marRight w:val="0"/>
      <w:marTop w:val="0"/>
      <w:marBottom w:val="0"/>
      <w:divBdr>
        <w:top w:val="none" w:sz="0" w:space="0" w:color="auto"/>
        <w:left w:val="none" w:sz="0" w:space="0" w:color="auto"/>
        <w:bottom w:val="none" w:sz="0" w:space="0" w:color="auto"/>
        <w:right w:val="none" w:sz="0" w:space="0" w:color="auto"/>
      </w:divBdr>
    </w:div>
    <w:div w:id="891692430">
      <w:bodyDiv w:val="1"/>
      <w:marLeft w:val="0"/>
      <w:marRight w:val="0"/>
      <w:marTop w:val="0"/>
      <w:marBottom w:val="0"/>
      <w:divBdr>
        <w:top w:val="none" w:sz="0" w:space="0" w:color="auto"/>
        <w:left w:val="none" w:sz="0" w:space="0" w:color="auto"/>
        <w:bottom w:val="none" w:sz="0" w:space="0" w:color="auto"/>
        <w:right w:val="none" w:sz="0" w:space="0" w:color="auto"/>
      </w:divBdr>
    </w:div>
    <w:div w:id="907810627">
      <w:bodyDiv w:val="1"/>
      <w:marLeft w:val="0"/>
      <w:marRight w:val="0"/>
      <w:marTop w:val="0"/>
      <w:marBottom w:val="0"/>
      <w:divBdr>
        <w:top w:val="none" w:sz="0" w:space="0" w:color="auto"/>
        <w:left w:val="none" w:sz="0" w:space="0" w:color="auto"/>
        <w:bottom w:val="none" w:sz="0" w:space="0" w:color="auto"/>
        <w:right w:val="none" w:sz="0" w:space="0" w:color="auto"/>
      </w:divBdr>
    </w:div>
    <w:div w:id="926034702">
      <w:bodyDiv w:val="1"/>
      <w:marLeft w:val="0"/>
      <w:marRight w:val="0"/>
      <w:marTop w:val="0"/>
      <w:marBottom w:val="0"/>
      <w:divBdr>
        <w:top w:val="none" w:sz="0" w:space="0" w:color="auto"/>
        <w:left w:val="none" w:sz="0" w:space="0" w:color="auto"/>
        <w:bottom w:val="none" w:sz="0" w:space="0" w:color="auto"/>
        <w:right w:val="none" w:sz="0" w:space="0" w:color="auto"/>
      </w:divBdr>
    </w:div>
    <w:div w:id="957488963">
      <w:bodyDiv w:val="1"/>
      <w:marLeft w:val="0"/>
      <w:marRight w:val="0"/>
      <w:marTop w:val="0"/>
      <w:marBottom w:val="0"/>
      <w:divBdr>
        <w:top w:val="none" w:sz="0" w:space="0" w:color="auto"/>
        <w:left w:val="none" w:sz="0" w:space="0" w:color="auto"/>
        <w:bottom w:val="none" w:sz="0" w:space="0" w:color="auto"/>
        <w:right w:val="none" w:sz="0" w:space="0" w:color="auto"/>
      </w:divBdr>
    </w:div>
    <w:div w:id="993417425">
      <w:bodyDiv w:val="1"/>
      <w:marLeft w:val="0"/>
      <w:marRight w:val="0"/>
      <w:marTop w:val="0"/>
      <w:marBottom w:val="0"/>
      <w:divBdr>
        <w:top w:val="none" w:sz="0" w:space="0" w:color="auto"/>
        <w:left w:val="none" w:sz="0" w:space="0" w:color="auto"/>
        <w:bottom w:val="none" w:sz="0" w:space="0" w:color="auto"/>
        <w:right w:val="none" w:sz="0" w:space="0" w:color="auto"/>
      </w:divBdr>
    </w:div>
    <w:div w:id="1002661948">
      <w:bodyDiv w:val="1"/>
      <w:marLeft w:val="0"/>
      <w:marRight w:val="0"/>
      <w:marTop w:val="0"/>
      <w:marBottom w:val="0"/>
      <w:divBdr>
        <w:top w:val="none" w:sz="0" w:space="0" w:color="auto"/>
        <w:left w:val="none" w:sz="0" w:space="0" w:color="auto"/>
        <w:bottom w:val="none" w:sz="0" w:space="0" w:color="auto"/>
        <w:right w:val="none" w:sz="0" w:space="0" w:color="auto"/>
      </w:divBdr>
    </w:div>
    <w:div w:id="1064067021">
      <w:bodyDiv w:val="1"/>
      <w:marLeft w:val="0"/>
      <w:marRight w:val="0"/>
      <w:marTop w:val="0"/>
      <w:marBottom w:val="0"/>
      <w:divBdr>
        <w:top w:val="none" w:sz="0" w:space="0" w:color="auto"/>
        <w:left w:val="none" w:sz="0" w:space="0" w:color="auto"/>
        <w:bottom w:val="none" w:sz="0" w:space="0" w:color="auto"/>
        <w:right w:val="none" w:sz="0" w:space="0" w:color="auto"/>
      </w:divBdr>
    </w:div>
    <w:div w:id="1072460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7704">
          <w:marLeft w:val="0"/>
          <w:marRight w:val="0"/>
          <w:marTop w:val="0"/>
          <w:marBottom w:val="0"/>
          <w:divBdr>
            <w:top w:val="none" w:sz="0" w:space="0" w:color="auto"/>
            <w:left w:val="none" w:sz="0" w:space="0" w:color="auto"/>
            <w:bottom w:val="none" w:sz="0" w:space="0" w:color="auto"/>
            <w:right w:val="none" w:sz="0" w:space="0" w:color="auto"/>
          </w:divBdr>
        </w:div>
        <w:div w:id="1992051735">
          <w:marLeft w:val="0"/>
          <w:marRight w:val="0"/>
          <w:marTop w:val="0"/>
          <w:marBottom w:val="0"/>
          <w:divBdr>
            <w:top w:val="none" w:sz="0" w:space="0" w:color="auto"/>
            <w:left w:val="none" w:sz="0" w:space="0" w:color="auto"/>
            <w:bottom w:val="none" w:sz="0" w:space="0" w:color="auto"/>
            <w:right w:val="none" w:sz="0" w:space="0" w:color="auto"/>
          </w:divBdr>
        </w:div>
      </w:divsChild>
    </w:div>
    <w:div w:id="1098252815">
      <w:bodyDiv w:val="1"/>
      <w:marLeft w:val="0"/>
      <w:marRight w:val="0"/>
      <w:marTop w:val="0"/>
      <w:marBottom w:val="0"/>
      <w:divBdr>
        <w:top w:val="none" w:sz="0" w:space="0" w:color="auto"/>
        <w:left w:val="none" w:sz="0" w:space="0" w:color="auto"/>
        <w:bottom w:val="none" w:sz="0" w:space="0" w:color="auto"/>
        <w:right w:val="none" w:sz="0" w:space="0" w:color="auto"/>
      </w:divBdr>
    </w:div>
    <w:div w:id="1132334445">
      <w:bodyDiv w:val="1"/>
      <w:marLeft w:val="0"/>
      <w:marRight w:val="0"/>
      <w:marTop w:val="0"/>
      <w:marBottom w:val="0"/>
      <w:divBdr>
        <w:top w:val="none" w:sz="0" w:space="0" w:color="auto"/>
        <w:left w:val="none" w:sz="0" w:space="0" w:color="auto"/>
        <w:bottom w:val="none" w:sz="0" w:space="0" w:color="auto"/>
        <w:right w:val="none" w:sz="0" w:space="0" w:color="auto"/>
      </w:divBdr>
    </w:div>
    <w:div w:id="1155756644">
      <w:bodyDiv w:val="1"/>
      <w:marLeft w:val="0"/>
      <w:marRight w:val="0"/>
      <w:marTop w:val="0"/>
      <w:marBottom w:val="0"/>
      <w:divBdr>
        <w:top w:val="none" w:sz="0" w:space="0" w:color="auto"/>
        <w:left w:val="none" w:sz="0" w:space="0" w:color="auto"/>
        <w:bottom w:val="none" w:sz="0" w:space="0" w:color="auto"/>
        <w:right w:val="none" w:sz="0" w:space="0" w:color="auto"/>
      </w:divBdr>
      <w:divsChild>
        <w:div w:id="82647610">
          <w:marLeft w:val="0"/>
          <w:marRight w:val="0"/>
          <w:marTop w:val="0"/>
          <w:marBottom w:val="0"/>
          <w:divBdr>
            <w:top w:val="none" w:sz="0" w:space="0" w:color="auto"/>
            <w:left w:val="none" w:sz="0" w:space="0" w:color="auto"/>
            <w:bottom w:val="none" w:sz="0" w:space="0" w:color="auto"/>
            <w:right w:val="none" w:sz="0" w:space="0" w:color="auto"/>
          </w:divBdr>
          <w:divsChild>
            <w:div w:id="1463958662">
              <w:marLeft w:val="0"/>
              <w:marRight w:val="0"/>
              <w:marTop w:val="0"/>
              <w:marBottom w:val="0"/>
              <w:divBdr>
                <w:top w:val="none" w:sz="0" w:space="0" w:color="auto"/>
                <w:left w:val="none" w:sz="0" w:space="0" w:color="auto"/>
                <w:bottom w:val="none" w:sz="0" w:space="0" w:color="auto"/>
                <w:right w:val="none" w:sz="0" w:space="0" w:color="auto"/>
              </w:divBdr>
              <w:divsChild>
                <w:div w:id="294143810">
                  <w:marLeft w:val="0"/>
                  <w:marRight w:val="0"/>
                  <w:marTop w:val="0"/>
                  <w:marBottom w:val="0"/>
                  <w:divBdr>
                    <w:top w:val="none" w:sz="0" w:space="0" w:color="auto"/>
                    <w:left w:val="none" w:sz="0" w:space="0" w:color="auto"/>
                    <w:bottom w:val="none" w:sz="0" w:space="0" w:color="auto"/>
                    <w:right w:val="none" w:sz="0" w:space="0" w:color="auto"/>
                  </w:divBdr>
                  <w:divsChild>
                    <w:div w:id="1631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3758">
      <w:bodyDiv w:val="1"/>
      <w:marLeft w:val="0"/>
      <w:marRight w:val="0"/>
      <w:marTop w:val="0"/>
      <w:marBottom w:val="0"/>
      <w:divBdr>
        <w:top w:val="none" w:sz="0" w:space="0" w:color="auto"/>
        <w:left w:val="none" w:sz="0" w:space="0" w:color="auto"/>
        <w:bottom w:val="none" w:sz="0" w:space="0" w:color="auto"/>
        <w:right w:val="none" w:sz="0" w:space="0" w:color="auto"/>
      </w:divBdr>
    </w:div>
    <w:div w:id="1202980852">
      <w:bodyDiv w:val="1"/>
      <w:marLeft w:val="0"/>
      <w:marRight w:val="0"/>
      <w:marTop w:val="0"/>
      <w:marBottom w:val="0"/>
      <w:divBdr>
        <w:top w:val="none" w:sz="0" w:space="0" w:color="auto"/>
        <w:left w:val="none" w:sz="0" w:space="0" w:color="auto"/>
        <w:bottom w:val="none" w:sz="0" w:space="0" w:color="auto"/>
        <w:right w:val="none" w:sz="0" w:space="0" w:color="auto"/>
      </w:divBdr>
    </w:div>
    <w:div w:id="1215236890">
      <w:bodyDiv w:val="1"/>
      <w:marLeft w:val="0"/>
      <w:marRight w:val="0"/>
      <w:marTop w:val="0"/>
      <w:marBottom w:val="0"/>
      <w:divBdr>
        <w:top w:val="none" w:sz="0" w:space="0" w:color="auto"/>
        <w:left w:val="none" w:sz="0" w:space="0" w:color="auto"/>
        <w:bottom w:val="none" w:sz="0" w:space="0" w:color="auto"/>
        <w:right w:val="none" w:sz="0" w:space="0" w:color="auto"/>
      </w:divBdr>
    </w:div>
    <w:div w:id="1219626914">
      <w:bodyDiv w:val="1"/>
      <w:marLeft w:val="0"/>
      <w:marRight w:val="0"/>
      <w:marTop w:val="0"/>
      <w:marBottom w:val="0"/>
      <w:divBdr>
        <w:top w:val="none" w:sz="0" w:space="0" w:color="auto"/>
        <w:left w:val="none" w:sz="0" w:space="0" w:color="auto"/>
        <w:bottom w:val="none" w:sz="0" w:space="0" w:color="auto"/>
        <w:right w:val="none" w:sz="0" w:space="0" w:color="auto"/>
      </w:divBdr>
      <w:divsChild>
        <w:div w:id="1179344105">
          <w:marLeft w:val="0"/>
          <w:marRight w:val="0"/>
          <w:marTop w:val="0"/>
          <w:marBottom w:val="0"/>
          <w:divBdr>
            <w:top w:val="none" w:sz="0" w:space="0" w:color="auto"/>
            <w:left w:val="none" w:sz="0" w:space="0" w:color="auto"/>
            <w:bottom w:val="none" w:sz="0" w:space="0" w:color="auto"/>
            <w:right w:val="none" w:sz="0" w:space="0" w:color="auto"/>
          </w:divBdr>
          <w:divsChild>
            <w:div w:id="1118455343">
              <w:marLeft w:val="0"/>
              <w:marRight w:val="0"/>
              <w:marTop w:val="0"/>
              <w:marBottom w:val="0"/>
              <w:divBdr>
                <w:top w:val="none" w:sz="0" w:space="0" w:color="auto"/>
                <w:left w:val="none" w:sz="0" w:space="0" w:color="auto"/>
                <w:bottom w:val="none" w:sz="0" w:space="0" w:color="auto"/>
                <w:right w:val="none" w:sz="0" w:space="0" w:color="auto"/>
              </w:divBdr>
            </w:div>
            <w:div w:id="419376517">
              <w:marLeft w:val="0"/>
              <w:marRight w:val="0"/>
              <w:marTop w:val="0"/>
              <w:marBottom w:val="0"/>
              <w:divBdr>
                <w:top w:val="none" w:sz="0" w:space="0" w:color="auto"/>
                <w:left w:val="none" w:sz="0" w:space="0" w:color="auto"/>
                <w:bottom w:val="none" w:sz="0" w:space="0" w:color="auto"/>
                <w:right w:val="none" w:sz="0" w:space="0" w:color="auto"/>
              </w:divBdr>
            </w:div>
            <w:div w:id="1366903138">
              <w:marLeft w:val="0"/>
              <w:marRight w:val="0"/>
              <w:marTop w:val="0"/>
              <w:marBottom w:val="0"/>
              <w:divBdr>
                <w:top w:val="none" w:sz="0" w:space="0" w:color="auto"/>
                <w:left w:val="none" w:sz="0" w:space="0" w:color="auto"/>
                <w:bottom w:val="none" w:sz="0" w:space="0" w:color="auto"/>
                <w:right w:val="none" w:sz="0" w:space="0" w:color="auto"/>
              </w:divBdr>
            </w:div>
          </w:divsChild>
        </w:div>
        <w:div w:id="52970832">
          <w:marLeft w:val="0"/>
          <w:marRight w:val="0"/>
          <w:marTop w:val="0"/>
          <w:marBottom w:val="0"/>
          <w:divBdr>
            <w:top w:val="none" w:sz="0" w:space="0" w:color="auto"/>
            <w:left w:val="none" w:sz="0" w:space="0" w:color="auto"/>
            <w:bottom w:val="none" w:sz="0" w:space="0" w:color="auto"/>
            <w:right w:val="none" w:sz="0" w:space="0" w:color="auto"/>
          </w:divBdr>
        </w:div>
        <w:div w:id="436293045">
          <w:marLeft w:val="0"/>
          <w:marRight w:val="0"/>
          <w:marTop w:val="0"/>
          <w:marBottom w:val="0"/>
          <w:divBdr>
            <w:top w:val="none" w:sz="0" w:space="0" w:color="auto"/>
            <w:left w:val="none" w:sz="0" w:space="0" w:color="auto"/>
            <w:bottom w:val="none" w:sz="0" w:space="0" w:color="auto"/>
            <w:right w:val="none" w:sz="0" w:space="0" w:color="auto"/>
          </w:divBdr>
        </w:div>
      </w:divsChild>
    </w:div>
    <w:div w:id="1238172811">
      <w:bodyDiv w:val="1"/>
      <w:marLeft w:val="0"/>
      <w:marRight w:val="0"/>
      <w:marTop w:val="0"/>
      <w:marBottom w:val="0"/>
      <w:divBdr>
        <w:top w:val="none" w:sz="0" w:space="0" w:color="auto"/>
        <w:left w:val="none" w:sz="0" w:space="0" w:color="auto"/>
        <w:bottom w:val="none" w:sz="0" w:space="0" w:color="auto"/>
        <w:right w:val="none" w:sz="0" w:space="0" w:color="auto"/>
      </w:divBdr>
      <w:divsChild>
        <w:div w:id="532228421">
          <w:marLeft w:val="0"/>
          <w:marRight w:val="0"/>
          <w:marTop w:val="0"/>
          <w:marBottom w:val="0"/>
          <w:divBdr>
            <w:top w:val="none" w:sz="0" w:space="0" w:color="auto"/>
            <w:left w:val="none" w:sz="0" w:space="0" w:color="auto"/>
            <w:bottom w:val="none" w:sz="0" w:space="0" w:color="auto"/>
            <w:right w:val="none" w:sz="0" w:space="0" w:color="auto"/>
          </w:divBdr>
          <w:divsChild>
            <w:div w:id="1153376896">
              <w:marLeft w:val="0"/>
              <w:marRight w:val="0"/>
              <w:marTop w:val="0"/>
              <w:marBottom w:val="0"/>
              <w:divBdr>
                <w:top w:val="none" w:sz="0" w:space="0" w:color="auto"/>
                <w:left w:val="none" w:sz="0" w:space="0" w:color="auto"/>
                <w:bottom w:val="none" w:sz="0" w:space="0" w:color="auto"/>
                <w:right w:val="none" w:sz="0" w:space="0" w:color="auto"/>
              </w:divBdr>
              <w:divsChild>
                <w:div w:id="13575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21263">
      <w:bodyDiv w:val="1"/>
      <w:marLeft w:val="0"/>
      <w:marRight w:val="0"/>
      <w:marTop w:val="0"/>
      <w:marBottom w:val="0"/>
      <w:divBdr>
        <w:top w:val="none" w:sz="0" w:space="0" w:color="auto"/>
        <w:left w:val="none" w:sz="0" w:space="0" w:color="auto"/>
        <w:bottom w:val="none" w:sz="0" w:space="0" w:color="auto"/>
        <w:right w:val="none" w:sz="0" w:space="0" w:color="auto"/>
      </w:divBdr>
    </w:div>
    <w:div w:id="1301762376">
      <w:bodyDiv w:val="1"/>
      <w:marLeft w:val="0"/>
      <w:marRight w:val="0"/>
      <w:marTop w:val="0"/>
      <w:marBottom w:val="0"/>
      <w:divBdr>
        <w:top w:val="none" w:sz="0" w:space="0" w:color="auto"/>
        <w:left w:val="none" w:sz="0" w:space="0" w:color="auto"/>
        <w:bottom w:val="none" w:sz="0" w:space="0" w:color="auto"/>
        <w:right w:val="none" w:sz="0" w:space="0" w:color="auto"/>
      </w:divBdr>
      <w:divsChild>
        <w:div w:id="1238981252">
          <w:marLeft w:val="0"/>
          <w:marRight w:val="0"/>
          <w:marTop w:val="0"/>
          <w:marBottom w:val="0"/>
          <w:divBdr>
            <w:top w:val="none" w:sz="0" w:space="0" w:color="auto"/>
            <w:left w:val="none" w:sz="0" w:space="0" w:color="auto"/>
            <w:bottom w:val="none" w:sz="0" w:space="0" w:color="auto"/>
            <w:right w:val="none" w:sz="0" w:space="0" w:color="auto"/>
          </w:divBdr>
        </w:div>
        <w:div w:id="356278931">
          <w:marLeft w:val="0"/>
          <w:marRight w:val="0"/>
          <w:marTop w:val="0"/>
          <w:marBottom w:val="0"/>
          <w:divBdr>
            <w:top w:val="none" w:sz="0" w:space="0" w:color="auto"/>
            <w:left w:val="none" w:sz="0" w:space="0" w:color="auto"/>
            <w:bottom w:val="none" w:sz="0" w:space="0" w:color="auto"/>
            <w:right w:val="none" w:sz="0" w:space="0" w:color="auto"/>
          </w:divBdr>
        </w:div>
      </w:divsChild>
    </w:div>
    <w:div w:id="1307516653">
      <w:bodyDiv w:val="1"/>
      <w:marLeft w:val="0"/>
      <w:marRight w:val="0"/>
      <w:marTop w:val="0"/>
      <w:marBottom w:val="0"/>
      <w:divBdr>
        <w:top w:val="none" w:sz="0" w:space="0" w:color="auto"/>
        <w:left w:val="none" w:sz="0" w:space="0" w:color="auto"/>
        <w:bottom w:val="none" w:sz="0" w:space="0" w:color="auto"/>
        <w:right w:val="none" w:sz="0" w:space="0" w:color="auto"/>
      </w:divBdr>
    </w:div>
    <w:div w:id="1311639089">
      <w:bodyDiv w:val="1"/>
      <w:marLeft w:val="0"/>
      <w:marRight w:val="0"/>
      <w:marTop w:val="0"/>
      <w:marBottom w:val="0"/>
      <w:divBdr>
        <w:top w:val="none" w:sz="0" w:space="0" w:color="auto"/>
        <w:left w:val="none" w:sz="0" w:space="0" w:color="auto"/>
        <w:bottom w:val="none" w:sz="0" w:space="0" w:color="auto"/>
        <w:right w:val="none" w:sz="0" w:space="0" w:color="auto"/>
      </w:divBdr>
    </w:div>
    <w:div w:id="1328704450">
      <w:bodyDiv w:val="1"/>
      <w:marLeft w:val="0"/>
      <w:marRight w:val="0"/>
      <w:marTop w:val="0"/>
      <w:marBottom w:val="0"/>
      <w:divBdr>
        <w:top w:val="none" w:sz="0" w:space="0" w:color="auto"/>
        <w:left w:val="none" w:sz="0" w:space="0" w:color="auto"/>
        <w:bottom w:val="none" w:sz="0" w:space="0" w:color="auto"/>
        <w:right w:val="none" w:sz="0" w:space="0" w:color="auto"/>
      </w:divBdr>
    </w:div>
    <w:div w:id="1346206644">
      <w:bodyDiv w:val="1"/>
      <w:marLeft w:val="0"/>
      <w:marRight w:val="0"/>
      <w:marTop w:val="0"/>
      <w:marBottom w:val="0"/>
      <w:divBdr>
        <w:top w:val="none" w:sz="0" w:space="0" w:color="auto"/>
        <w:left w:val="none" w:sz="0" w:space="0" w:color="auto"/>
        <w:bottom w:val="none" w:sz="0" w:space="0" w:color="auto"/>
        <w:right w:val="none" w:sz="0" w:space="0" w:color="auto"/>
      </w:divBdr>
    </w:div>
    <w:div w:id="1358653709">
      <w:bodyDiv w:val="1"/>
      <w:marLeft w:val="0"/>
      <w:marRight w:val="0"/>
      <w:marTop w:val="0"/>
      <w:marBottom w:val="0"/>
      <w:divBdr>
        <w:top w:val="none" w:sz="0" w:space="0" w:color="auto"/>
        <w:left w:val="none" w:sz="0" w:space="0" w:color="auto"/>
        <w:bottom w:val="none" w:sz="0" w:space="0" w:color="auto"/>
        <w:right w:val="none" w:sz="0" w:space="0" w:color="auto"/>
      </w:divBdr>
    </w:div>
    <w:div w:id="1380939610">
      <w:bodyDiv w:val="1"/>
      <w:marLeft w:val="0"/>
      <w:marRight w:val="0"/>
      <w:marTop w:val="0"/>
      <w:marBottom w:val="0"/>
      <w:divBdr>
        <w:top w:val="none" w:sz="0" w:space="0" w:color="auto"/>
        <w:left w:val="none" w:sz="0" w:space="0" w:color="auto"/>
        <w:bottom w:val="none" w:sz="0" w:space="0" w:color="auto"/>
        <w:right w:val="none" w:sz="0" w:space="0" w:color="auto"/>
      </w:divBdr>
      <w:divsChild>
        <w:div w:id="1558393543">
          <w:marLeft w:val="0"/>
          <w:marRight w:val="0"/>
          <w:marTop w:val="0"/>
          <w:marBottom w:val="0"/>
          <w:divBdr>
            <w:top w:val="none" w:sz="0" w:space="0" w:color="auto"/>
            <w:left w:val="none" w:sz="0" w:space="0" w:color="auto"/>
            <w:bottom w:val="none" w:sz="0" w:space="0" w:color="auto"/>
            <w:right w:val="none" w:sz="0" w:space="0" w:color="auto"/>
          </w:divBdr>
          <w:divsChild>
            <w:div w:id="294526176">
              <w:marLeft w:val="0"/>
              <w:marRight w:val="0"/>
              <w:marTop w:val="0"/>
              <w:marBottom w:val="0"/>
              <w:divBdr>
                <w:top w:val="none" w:sz="0" w:space="0" w:color="auto"/>
                <w:left w:val="none" w:sz="0" w:space="0" w:color="auto"/>
                <w:bottom w:val="none" w:sz="0" w:space="0" w:color="auto"/>
                <w:right w:val="none" w:sz="0" w:space="0" w:color="auto"/>
              </w:divBdr>
            </w:div>
            <w:div w:id="1199397403">
              <w:marLeft w:val="0"/>
              <w:marRight w:val="0"/>
              <w:marTop w:val="0"/>
              <w:marBottom w:val="0"/>
              <w:divBdr>
                <w:top w:val="none" w:sz="0" w:space="0" w:color="auto"/>
                <w:left w:val="none" w:sz="0" w:space="0" w:color="auto"/>
                <w:bottom w:val="none" w:sz="0" w:space="0" w:color="auto"/>
                <w:right w:val="none" w:sz="0" w:space="0" w:color="auto"/>
              </w:divBdr>
            </w:div>
          </w:divsChild>
        </w:div>
        <w:div w:id="928729819">
          <w:marLeft w:val="0"/>
          <w:marRight w:val="0"/>
          <w:marTop w:val="0"/>
          <w:marBottom w:val="0"/>
          <w:divBdr>
            <w:top w:val="none" w:sz="0" w:space="0" w:color="auto"/>
            <w:left w:val="none" w:sz="0" w:space="0" w:color="auto"/>
            <w:bottom w:val="none" w:sz="0" w:space="0" w:color="auto"/>
            <w:right w:val="none" w:sz="0" w:space="0" w:color="auto"/>
          </w:divBdr>
          <w:divsChild>
            <w:div w:id="533418888">
              <w:marLeft w:val="0"/>
              <w:marRight w:val="0"/>
              <w:marTop w:val="0"/>
              <w:marBottom w:val="0"/>
              <w:divBdr>
                <w:top w:val="none" w:sz="0" w:space="0" w:color="auto"/>
                <w:left w:val="none" w:sz="0" w:space="0" w:color="auto"/>
                <w:bottom w:val="none" w:sz="0" w:space="0" w:color="auto"/>
                <w:right w:val="none" w:sz="0" w:space="0" w:color="auto"/>
              </w:divBdr>
            </w:div>
            <w:div w:id="898596474">
              <w:marLeft w:val="0"/>
              <w:marRight w:val="0"/>
              <w:marTop w:val="0"/>
              <w:marBottom w:val="0"/>
              <w:divBdr>
                <w:top w:val="none" w:sz="0" w:space="0" w:color="auto"/>
                <w:left w:val="none" w:sz="0" w:space="0" w:color="auto"/>
                <w:bottom w:val="none" w:sz="0" w:space="0" w:color="auto"/>
                <w:right w:val="none" w:sz="0" w:space="0" w:color="auto"/>
              </w:divBdr>
            </w:div>
          </w:divsChild>
        </w:div>
        <w:div w:id="1786263728">
          <w:marLeft w:val="0"/>
          <w:marRight w:val="0"/>
          <w:marTop w:val="0"/>
          <w:marBottom w:val="0"/>
          <w:divBdr>
            <w:top w:val="none" w:sz="0" w:space="0" w:color="auto"/>
            <w:left w:val="none" w:sz="0" w:space="0" w:color="auto"/>
            <w:bottom w:val="none" w:sz="0" w:space="0" w:color="auto"/>
            <w:right w:val="none" w:sz="0" w:space="0" w:color="auto"/>
          </w:divBdr>
          <w:divsChild>
            <w:div w:id="1239553606">
              <w:marLeft w:val="0"/>
              <w:marRight w:val="0"/>
              <w:marTop w:val="0"/>
              <w:marBottom w:val="0"/>
              <w:divBdr>
                <w:top w:val="none" w:sz="0" w:space="0" w:color="auto"/>
                <w:left w:val="none" w:sz="0" w:space="0" w:color="auto"/>
                <w:bottom w:val="none" w:sz="0" w:space="0" w:color="auto"/>
                <w:right w:val="none" w:sz="0" w:space="0" w:color="auto"/>
              </w:divBdr>
            </w:div>
            <w:div w:id="1242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1866">
      <w:bodyDiv w:val="1"/>
      <w:marLeft w:val="0"/>
      <w:marRight w:val="0"/>
      <w:marTop w:val="0"/>
      <w:marBottom w:val="0"/>
      <w:divBdr>
        <w:top w:val="none" w:sz="0" w:space="0" w:color="auto"/>
        <w:left w:val="none" w:sz="0" w:space="0" w:color="auto"/>
        <w:bottom w:val="none" w:sz="0" w:space="0" w:color="auto"/>
        <w:right w:val="none" w:sz="0" w:space="0" w:color="auto"/>
      </w:divBdr>
    </w:div>
    <w:div w:id="1401827148">
      <w:bodyDiv w:val="1"/>
      <w:marLeft w:val="0"/>
      <w:marRight w:val="0"/>
      <w:marTop w:val="0"/>
      <w:marBottom w:val="0"/>
      <w:divBdr>
        <w:top w:val="none" w:sz="0" w:space="0" w:color="auto"/>
        <w:left w:val="none" w:sz="0" w:space="0" w:color="auto"/>
        <w:bottom w:val="none" w:sz="0" w:space="0" w:color="auto"/>
        <w:right w:val="none" w:sz="0" w:space="0" w:color="auto"/>
      </w:divBdr>
    </w:div>
    <w:div w:id="1401905399">
      <w:bodyDiv w:val="1"/>
      <w:marLeft w:val="0"/>
      <w:marRight w:val="0"/>
      <w:marTop w:val="0"/>
      <w:marBottom w:val="0"/>
      <w:divBdr>
        <w:top w:val="none" w:sz="0" w:space="0" w:color="auto"/>
        <w:left w:val="none" w:sz="0" w:space="0" w:color="auto"/>
        <w:bottom w:val="none" w:sz="0" w:space="0" w:color="auto"/>
        <w:right w:val="none" w:sz="0" w:space="0" w:color="auto"/>
      </w:divBdr>
    </w:div>
    <w:div w:id="1432815626">
      <w:bodyDiv w:val="1"/>
      <w:marLeft w:val="0"/>
      <w:marRight w:val="0"/>
      <w:marTop w:val="0"/>
      <w:marBottom w:val="0"/>
      <w:divBdr>
        <w:top w:val="none" w:sz="0" w:space="0" w:color="auto"/>
        <w:left w:val="none" w:sz="0" w:space="0" w:color="auto"/>
        <w:bottom w:val="none" w:sz="0" w:space="0" w:color="auto"/>
        <w:right w:val="none" w:sz="0" w:space="0" w:color="auto"/>
      </w:divBdr>
    </w:div>
    <w:div w:id="1444884950">
      <w:bodyDiv w:val="1"/>
      <w:marLeft w:val="0"/>
      <w:marRight w:val="0"/>
      <w:marTop w:val="0"/>
      <w:marBottom w:val="0"/>
      <w:divBdr>
        <w:top w:val="none" w:sz="0" w:space="0" w:color="auto"/>
        <w:left w:val="none" w:sz="0" w:space="0" w:color="auto"/>
        <w:bottom w:val="none" w:sz="0" w:space="0" w:color="auto"/>
        <w:right w:val="none" w:sz="0" w:space="0" w:color="auto"/>
      </w:divBdr>
    </w:div>
    <w:div w:id="1458597836">
      <w:bodyDiv w:val="1"/>
      <w:marLeft w:val="0"/>
      <w:marRight w:val="0"/>
      <w:marTop w:val="0"/>
      <w:marBottom w:val="0"/>
      <w:divBdr>
        <w:top w:val="none" w:sz="0" w:space="0" w:color="auto"/>
        <w:left w:val="none" w:sz="0" w:space="0" w:color="auto"/>
        <w:bottom w:val="none" w:sz="0" w:space="0" w:color="auto"/>
        <w:right w:val="none" w:sz="0" w:space="0" w:color="auto"/>
      </w:divBdr>
    </w:div>
    <w:div w:id="1460105954">
      <w:bodyDiv w:val="1"/>
      <w:marLeft w:val="0"/>
      <w:marRight w:val="0"/>
      <w:marTop w:val="0"/>
      <w:marBottom w:val="0"/>
      <w:divBdr>
        <w:top w:val="none" w:sz="0" w:space="0" w:color="auto"/>
        <w:left w:val="none" w:sz="0" w:space="0" w:color="auto"/>
        <w:bottom w:val="none" w:sz="0" w:space="0" w:color="auto"/>
        <w:right w:val="none" w:sz="0" w:space="0" w:color="auto"/>
      </w:divBdr>
    </w:div>
    <w:div w:id="1475294040">
      <w:bodyDiv w:val="1"/>
      <w:marLeft w:val="0"/>
      <w:marRight w:val="0"/>
      <w:marTop w:val="0"/>
      <w:marBottom w:val="0"/>
      <w:divBdr>
        <w:top w:val="none" w:sz="0" w:space="0" w:color="auto"/>
        <w:left w:val="none" w:sz="0" w:space="0" w:color="auto"/>
        <w:bottom w:val="none" w:sz="0" w:space="0" w:color="auto"/>
        <w:right w:val="none" w:sz="0" w:space="0" w:color="auto"/>
      </w:divBdr>
    </w:div>
    <w:div w:id="1478915980">
      <w:bodyDiv w:val="1"/>
      <w:marLeft w:val="0"/>
      <w:marRight w:val="0"/>
      <w:marTop w:val="0"/>
      <w:marBottom w:val="0"/>
      <w:divBdr>
        <w:top w:val="none" w:sz="0" w:space="0" w:color="auto"/>
        <w:left w:val="none" w:sz="0" w:space="0" w:color="auto"/>
        <w:bottom w:val="none" w:sz="0" w:space="0" w:color="auto"/>
        <w:right w:val="none" w:sz="0" w:space="0" w:color="auto"/>
      </w:divBdr>
      <w:divsChild>
        <w:div w:id="966425257">
          <w:marLeft w:val="0"/>
          <w:marRight w:val="0"/>
          <w:marTop w:val="0"/>
          <w:marBottom w:val="0"/>
          <w:divBdr>
            <w:top w:val="none" w:sz="0" w:space="0" w:color="auto"/>
            <w:left w:val="none" w:sz="0" w:space="0" w:color="auto"/>
            <w:bottom w:val="none" w:sz="0" w:space="0" w:color="auto"/>
            <w:right w:val="none" w:sz="0" w:space="0" w:color="auto"/>
          </w:divBdr>
          <w:divsChild>
            <w:div w:id="375857886">
              <w:marLeft w:val="0"/>
              <w:marRight w:val="0"/>
              <w:marTop w:val="0"/>
              <w:marBottom w:val="0"/>
              <w:divBdr>
                <w:top w:val="none" w:sz="0" w:space="0" w:color="auto"/>
                <w:left w:val="none" w:sz="0" w:space="0" w:color="auto"/>
                <w:bottom w:val="none" w:sz="0" w:space="0" w:color="auto"/>
                <w:right w:val="none" w:sz="0" w:space="0" w:color="auto"/>
              </w:divBdr>
              <w:divsChild>
                <w:div w:id="17631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6404">
      <w:bodyDiv w:val="1"/>
      <w:marLeft w:val="0"/>
      <w:marRight w:val="0"/>
      <w:marTop w:val="0"/>
      <w:marBottom w:val="0"/>
      <w:divBdr>
        <w:top w:val="none" w:sz="0" w:space="0" w:color="auto"/>
        <w:left w:val="none" w:sz="0" w:space="0" w:color="auto"/>
        <w:bottom w:val="none" w:sz="0" w:space="0" w:color="auto"/>
        <w:right w:val="none" w:sz="0" w:space="0" w:color="auto"/>
      </w:divBdr>
    </w:div>
    <w:div w:id="1501114832">
      <w:bodyDiv w:val="1"/>
      <w:marLeft w:val="0"/>
      <w:marRight w:val="0"/>
      <w:marTop w:val="0"/>
      <w:marBottom w:val="0"/>
      <w:divBdr>
        <w:top w:val="none" w:sz="0" w:space="0" w:color="auto"/>
        <w:left w:val="none" w:sz="0" w:space="0" w:color="auto"/>
        <w:bottom w:val="none" w:sz="0" w:space="0" w:color="auto"/>
        <w:right w:val="none" w:sz="0" w:space="0" w:color="auto"/>
      </w:divBdr>
    </w:div>
    <w:div w:id="1547448770">
      <w:bodyDiv w:val="1"/>
      <w:marLeft w:val="0"/>
      <w:marRight w:val="0"/>
      <w:marTop w:val="0"/>
      <w:marBottom w:val="0"/>
      <w:divBdr>
        <w:top w:val="none" w:sz="0" w:space="0" w:color="auto"/>
        <w:left w:val="none" w:sz="0" w:space="0" w:color="auto"/>
        <w:bottom w:val="none" w:sz="0" w:space="0" w:color="auto"/>
        <w:right w:val="none" w:sz="0" w:space="0" w:color="auto"/>
      </w:divBdr>
    </w:div>
    <w:div w:id="1549604188">
      <w:bodyDiv w:val="1"/>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none" w:sz="0" w:space="0" w:color="auto"/>
            <w:bottom w:val="none" w:sz="0" w:space="0" w:color="auto"/>
            <w:right w:val="none" w:sz="0" w:space="0" w:color="auto"/>
          </w:divBdr>
          <w:divsChild>
            <w:div w:id="1183739066">
              <w:marLeft w:val="0"/>
              <w:marRight w:val="0"/>
              <w:marTop w:val="0"/>
              <w:marBottom w:val="0"/>
              <w:divBdr>
                <w:top w:val="none" w:sz="0" w:space="0" w:color="auto"/>
                <w:left w:val="none" w:sz="0" w:space="0" w:color="auto"/>
                <w:bottom w:val="none" w:sz="0" w:space="0" w:color="auto"/>
                <w:right w:val="none" w:sz="0" w:space="0" w:color="auto"/>
              </w:divBdr>
            </w:div>
            <w:div w:id="1391729243">
              <w:marLeft w:val="0"/>
              <w:marRight w:val="0"/>
              <w:marTop w:val="0"/>
              <w:marBottom w:val="0"/>
              <w:divBdr>
                <w:top w:val="none" w:sz="0" w:space="0" w:color="auto"/>
                <w:left w:val="none" w:sz="0" w:space="0" w:color="auto"/>
                <w:bottom w:val="none" w:sz="0" w:space="0" w:color="auto"/>
                <w:right w:val="none" w:sz="0" w:space="0" w:color="auto"/>
              </w:divBdr>
            </w:div>
          </w:divsChild>
        </w:div>
        <w:div w:id="701590883">
          <w:marLeft w:val="0"/>
          <w:marRight w:val="0"/>
          <w:marTop w:val="0"/>
          <w:marBottom w:val="0"/>
          <w:divBdr>
            <w:top w:val="none" w:sz="0" w:space="0" w:color="auto"/>
            <w:left w:val="none" w:sz="0" w:space="0" w:color="auto"/>
            <w:bottom w:val="none" w:sz="0" w:space="0" w:color="auto"/>
            <w:right w:val="none" w:sz="0" w:space="0" w:color="auto"/>
          </w:divBdr>
        </w:div>
        <w:div w:id="710954309">
          <w:marLeft w:val="0"/>
          <w:marRight w:val="0"/>
          <w:marTop w:val="0"/>
          <w:marBottom w:val="0"/>
          <w:divBdr>
            <w:top w:val="none" w:sz="0" w:space="0" w:color="auto"/>
            <w:left w:val="none" w:sz="0" w:space="0" w:color="auto"/>
            <w:bottom w:val="none" w:sz="0" w:space="0" w:color="auto"/>
            <w:right w:val="none" w:sz="0" w:space="0" w:color="auto"/>
          </w:divBdr>
        </w:div>
        <w:div w:id="1792480128">
          <w:marLeft w:val="0"/>
          <w:marRight w:val="0"/>
          <w:marTop w:val="0"/>
          <w:marBottom w:val="0"/>
          <w:divBdr>
            <w:top w:val="none" w:sz="0" w:space="0" w:color="auto"/>
            <w:left w:val="none" w:sz="0" w:space="0" w:color="auto"/>
            <w:bottom w:val="none" w:sz="0" w:space="0" w:color="auto"/>
            <w:right w:val="none" w:sz="0" w:space="0" w:color="auto"/>
          </w:divBdr>
        </w:div>
        <w:div w:id="800802747">
          <w:marLeft w:val="0"/>
          <w:marRight w:val="0"/>
          <w:marTop w:val="0"/>
          <w:marBottom w:val="0"/>
          <w:divBdr>
            <w:top w:val="none" w:sz="0" w:space="0" w:color="auto"/>
            <w:left w:val="none" w:sz="0" w:space="0" w:color="auto"/>
            <w:bottom w:val="none" w:sz="0" w:space="0" w:color="auto"/>
            <w:right w:val="none" w:sz="0" w:space="0" w:color="auto"/>
          </w:divBdr>
        </w:div>
        <w:div w:id="2090543027">
          <w:marLeft w:val="0"/>
          <w:marRight w:val="0"/>
          <w:marTop w:val="0"/>
          <w:marBottom w:val="0"/>
          <w:divBdr>
            <w:top w:val="none" w:sz="0" w:space="0" w:color="auto"/>
            <w:left w:val="none" w:sz="0" w:space="0" w:color="auto"/>
            <w:bottom w:val="none" w:sz="0" w:space="0" w:color="auto"/>
            <w:right w:val="none" w:sz="0" w:space="0" w:color="auto"/>
          </w:divBdr>
        </w:div>
        <w:div w:id="2142262027">
          <w:marLeft w:val="0"/>
          <w:marRight w:val="0"/>
          <w:marTop w:val="0"/>
          <w:marBottom w:val="0"/>
          <w:divBdr>
            <w:top w:val="none" w:sz="0" w:space="0" w:color="auto"/>
            <w:left w:val="none" w:sz="0" w:space="0" w:color="auto"/>
            <w:bottom w:val="none" w:sz="0" w:space="0" w:color="auto"/>
            <w:right w:val="none" w:sz="0" w:space="0" w:color="auto"/>
          </w:divBdr>
        </w:div>
      </w:divsChild>
    </w:div>
    <w:div w:id="1567960033">
      <w:bodyDiv w:val="1"/>
      <w:marLeft w:val="0"/>
      <w:marRight w:val="0"/>
      <w:marTop w:val="0"/>
      <w:marBottom w:val="0"/>
      <w:divBdr>
        <w:top w:val="none" w:sz="0" w:space="0" w:color="auto"/>
        <w:left w:val="none" w:sz="0" w:space="0" w:color="auto"/>
        <w:bottom w:val="none" w:sz="0" w:space="0" w:color="auto"/>
        <w:right w:val="none" w:sz="0" w:space="0" w:color="auto"/>
      </w:divBdr>
    </w:div>
    <w:div w:id="1594245592">
      <w:bodyDiv w:val="1"/>
      <w:marLeft w:val="0"/>
      <w:marRight w:val="0"/>
      <w:marTop w:val="0"/>
      <w:marBottom w:val="0"/>
      <w:divBdr>
        <w:top w:val="none" w:sz="0" w:space="0" w:color="auto"/>
        <w:left w:val="none" w:sz="0" w:space="0" w:color="auto"/>
        <w:bottom w:val="none" w:sz="0" w:space="0" w:color="auto"/>
        <w:right w:val="none" w:sz="0" w:space="0" w:color="auto"/>
      </w:divBdr>
    </w:div>
    <w:div w:id="1622415742">
      <w:bodyDiv w:val="1"/>
      <w:marLeft w:val="0"/>
      <w:marRight w:val="0"/>
      <w:marTop w:val="0"/>
      <w:marBottom w:val="0"/>
      <w:divBdr>
        <w:top w:val="none" w:sz="0" w:space="0" w:color="auto"/>
        <w:left w:val="none" w:sz="0" w:space="0" w:color="auto"/>
        <w:bottom w:val="none" w:sz="0" w:space="0" w:color="auto"/>
        <w:right w:val="none" w:sz="0" w:space="0" w:color="auto"/>
      </w:divBdr>
    </w:div>
    <w:div w:id="1631744075">
      <w:bodyDiv w:val="1"/>
      <w:marLeft w:val="0"/>
      <w:marRight w:val="0"/>
      <w:marTop w:val="0"/>
      <w:marBottom w:val="0"/>
      <w:divBdr>
        <w:top w:val="none" w:sz="0" w:space="0" w:color="auto"/>
        <w:left w:val="none" w:sz="0" w:space="0" w:color="auto"/>
        <w:bottom w:val="none" w:sz="0" w:space="0" w:color="auto"/>
        <w:right w:val="none" w:sz="0" w:space="0" w:color="auto"/>
      </w:divBdr>
      <w:divsChild>
        <w:div w:id="1829128960">
          <w:marLeft w:val="0"/>
          <w:marRight w:val="0"/>
          <w:marTop w:val="0"/>
          <w:marBottom w:val="0"/>
          <w:divBdr>
            <w:top w:val="none" w:sz="0" w:space="0" w:color="auto"/>
            <w:left w:val="none" w:sz="0" w:space="0" w:color="auto"/>
            <w:bottom w:val="none" w:sz="0" w:space="0" w:color="auto"/>
            <w:right w:val="none" w:sz="0" w:space="0" w:color="auto"/>
          </w:divBdr>
          <w:divsChild>
            <w:div w:id="448280149">
              <w:marLeft w:val="0"/>
              <w:marRight w:val="0"/>
              <w:marTop w:val="0"/>
              <w:marBottom w:val="0"/>
              <w:divBdr>
                <w:top w:val="none" w:sz="0" w:space="0" w:color="auto"/>
                <w:left w:val="none" w:sz="0" w:space="0" w:color="auto"/>
                <w:bottom w:val="none" w:sz="0" w:space="0" w:color="auto"/>
                <w:right w:val="none" w:sz="0" w:space="0" w:color="auto"/>
              </w:divBdr>
              <w:divsChild>
                <w:div w:id="791751744">
                  <w:marLeft w:val="0"/>
                  <w:marRight w:val="0"/>
                  <w:marTop w:val="0"/>
                  <w:marBottom w:val="0"/>
                  <w:divBdr>
                    <w:top w:val="none" w:sz="0" w:space="0" w:color="auto"/>
                    <w:left w:val="none" w:sz="0" w:space="0" w:color="auto"/>
                    <w:bottom w:val="none" w:sz="0" w:space="0" w:color="auto"/>
                    <w:right w:val="none" w:sz="0" w:space="0" w:color="auto"/>
                  </w:divBdr>
                  <w:divsChild>
                    <w:div w:id="19356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70137">
      <w:bodyDiv w:val="1"/>
      <w:marLeft w:val="0"/>
      <w:marRight w:val="0"/>
      <w:marTop w:val="0"/>
      <w:marBottom w:val="0"/>
      <w:divBdr>
        <w:top w:val="none" w:sz="0" w:space="0" w:color="auto"/>
        <w:left w:val="none" w:sz="0" w:space="0" w:color="auto"/>
        <w:bottom w:val="none" w:sz="0" w:space="0" w:color="auto"/>
        <w:right w:val="none" w:sz="0" w:space="0" w:color="auto"/>
      </w:divBdr>
    </w:div>
    <w:div w:id="1642032857">
      <w:bodyDiv w:val="1"/>
      <w:marLeft w:val="0"/>
      <w:marRight w:val="0"/>
      <w:marTop w:val="0"/>
      <w:marBottom w:val="0"/>
      <w:divBdr>
        <w:top w:val="none" w:sz="0" w:space="0" w:color="auto"/>
        <w:left w:val="none" w:sz="0" w:space="0" w:color="auto"/>
        <w:bottom w:val="none" w:sz="0" w:space="0" w:color="auto"/>
        <w:right w:val="none" w:sz="0" w:space="0" w:color="auto"/>
      </w:divBdr>
    </w:div>
    <w:div w:id="1675721676">
      <w:bodyDiv w:val="1"/>
      <w:marLeft w:val="0"/>
      <w:marRight w:val="0"/>
      <w:marTop w:val="0"/>
      <w:marBottom w:val="0"/>
      <w:divBdr>
        <w:top w:val="none" w:sz="0" w:space="0" w:color="auto"/>
        <w:left w:val="none" w:sz="0" w:space="0" w:color="auto"/>
        <w:bottom w:val="none" w:sz="0" w:space="0" w:color="auto"/>
        <w:right w:val="none" w:sz="0" w:space="0" w:color="auto"/>
      </w:divBdr>
      <w:divsChild>
        <w:div w:id="384567863">
          <w:marLeft w:val="0"/>
          <w:marRight w:val="0"/>
          <w:marTop w:val="0"/>
          <w:marBottom w:val="0"/>
          <w:divBdr>
            <w:top w:val="none" w:sz="0" w:space="0" w:color="auto"/>
            <w:left w:val="none" w:sz="0" w:space="0" w:color="auto"/>
            <w:bottom w:val="none" w:sz="0" w:space="0" w:color="auto"/>
            <w:right w:val="none" w:sz="0" w:space="0" w:color="auto"/>
          </w:divBdr>
        </w:div>
      </w:divsChild>
    </w:div>
    <w:div w:id="1681352392">
      <w:bodyDiv w:val="1"/>
      <w:marLeft w:val="0"/>
      <w:marRight w:val="0"/>
      <w:marTop w:val="0"/>
      <w:marBottom w:val="0"/>
      <w:divBdr>
        <w:top w:val="none" w:sz="0" w:space="0" w:color="auto"/>
        <w:left w:val="none" w:sz="0" w:space="0" w:color="auto"/>
        <w:bottom w:val="none" w:sz="0" w:space="0" w:color="auto"/>
        <w:right w:val="none" w:sz="0" w:space="0" w:color="auto"/>
      </w:divBdr>
    </w:div>
    <w:div w:id="1683243595">
      <w:bodyDiv w:val="1"/>
      <w:marLeft w:val="0"/>
      <w:marRight w:val="0"/>
      <w:marTop w:val="0"/>
      <w:marBottom w:val="0"/>
      <w:divBdr>
        <w:top w:val="none" w:sz="0" w:space="0" w:color="auto"/>
        <w:left w:val="none" w:sz="0" w:space="0" w:color="auto"/>
        <w:bottom w:val="none" w:sz="0" w:space="0" w:color="auto"/>
        <w:right w:val="none" w:sz="0" w:space="0" w:color="auto"/>
      </w:divBdr>
      <w:divsChild>
        <w:div w:id="1736395203">
          <w:marLeft w:val="0"/>
          <w:marRight w:val="0"/>
          <w:marTop w:val="0"/>
          <w:marBottom w:val="0"/>
          <w:divBdr>
            <w:top w:val="none" w:sz="0" w:space="0" w:color="auto"/>
            <w:left w:val="none" w:sz="0" w:space="0" w:color="auto"/>
            <w:bottom w:val="none" w:sz="0" w:space="0" w:color="auto"/>
            <w:right w:val="none" w:sz="0" w:space="0" w:color="auto"/>
          </w:divBdr>
        </w:div>
        <w:div w:id="1361083454">
          <w:marLeft w:val="0"/>
          <w:marRight w:val="0"/>
          <w:marTop w:val="0"/>
          <w:marBottom w:val="0"/>
          <w:divBdr>
            <w:top w:val="none" w:sz="0" w:space="0" w:color="auto"/>
            <w:left w:val="none" w:sz="0" w:space="0" w:color="auto"/>
            <w:bottom w:val="none" w:sz="0" w:space="0" w:color="auto"/>
            <w:right w:val="none" w:sz="0" w:space="0" w:color="auto"/>
          </w:divBdr>
        </w:div>
        <w:div w:id="363792855">
          <w:marLeft w:val="0"/>
          <w:marRight w:val="0"/>
          <w:marTop w:val="0"/>
          <w:marBottom w:val="0"/>
          <w:divBdr>
            <w:top w:val="none" w:sz="0" w:space="0" w:color="auto"/>
            <w:left w:val="none" w:sz="0" w:space="0" w:color="auto"/>
            <w:bottom w:val="none" w:sz="0" w:space="0" w:color="auto"/>
            <w:right w:val="none" w:sz="0" w:space="0" w:color="auto"/>
          </w:divBdr>
        </w:div>
        <w:div w:id="2056078517">
          <w:marLeft w:val="0"/>
          <w:marRight w:val="0"/>
          <w:marTop w:val="0"/>
          <w:marBottom w:val="0"/>
          <w:divBdr>
            <w:top w:val="none" w:sz="0" w:space="0" w:color="auto"/>
            <w:left w:val="none" w:sz="0" w:space="0" w:color="auto"/>
            <w:bottom w:val="none" w:sz="0" w:space="0" w:color="auto"/>
            <w:right w:val="none" w:sz="0" w:space="0" w:color="auto"/>
          </w:divBdr>
        </w:div>
        <w:div w:id="1606301085">
          <w:marLeft w:val="0"/>
          <w:marRight w:val="0"/>
          <w:marTop w:val="0"/>
          <w:marBottom w:val="0"/>
          <w:divBdr>
            <w:top w:val="none" w:sz="0" w:space="0" w:color="auto"/>
            <w:left w:val="none" w:sz="0" w:space="0" w:color="auto"/>
            <w:bottom w:val="none" w:sz="0" w:space="0" w:color="auto"/>
            <w:right w:val="none" w:sz="0" w:space="0" w:color="auto"/>
          </w:divBdr>
        </w:div>
        <w:div w:id="1293516564">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76291952">
          <w:marLeft w:val="0"/>
          <w:marRight w:val="0"/>
          <w:marTop w:val="0"/>
          <w:marBottom w:val="0"/>
          <w:divBdr>
            <w:top w:val="none" w:sz="0" w:space="0" w:color="auto"/>
            <w:left w:val="none" w:sz="0" w:space="0" w:color="auto"/>
            <w:bottom w:val="none" w:sz="0" w:space="0" w:color="auto"/>
            <w:right w:val="none" w:sz="0" w:space="0" w:color="auto"/>
          </w:divBdr>
        </w:div>
        <w:div w:id="199706056">
          <w:marLeft w:val="0"/>
          <w:marRight w:val="0"/>
          <w:marTop w:val="0"/>
          <w:marBottom w:val="0"/>
          <w:divBdr>
            <w:top w:val="none" w:sz="0" w:space="0" w:color="auto"/>
            <w:left w:val="none" w:sz="0" w:space="0" w:color="auto"/>
            <w:bottom w:val="none" w:sz="0" w:space="0" w:color="auto"/>
            <w:right w:val="none" w:sz="0" w:space="0" w:color="auto"/>
          </w:divBdr>
        </w:div>
        <w:div w:id="425535891">
          <w:marLeft w:val="0"/>
          <w:marRight w:val="0"/>
          <w:marTop w:val="0"/>
          <w:marBottom w:val="0"/>
          <w:divBdr>
            <w:top w:val="none" w:sz="0" w:space="0" w:color="auto"/>
            <w:left w:val="none" w:sz="0" w:space="0" w:color="auto"/>
            <w:bottom w:val="none" w:sz="0" w:space="0" w:color="auto"/>
            <w:right w:val="none" w:sz="0" w:space="0" w:color="auto"/>
          </w:divBdr>
        </w:div>
        <w:div w:id="1847793295">
          <w:marLeft w:val="0"/>
          <w:marRight w:val="0"/>
          <w:marTop w:val="0"/>
          <w:marBottom w:val="0"/>
          <w:divBdr>
            <w:top w:val="none" w:sz="0" w:space="0" w:color="auto"/>
            <w:left w:val="none" w:sz="0" w:space="0" w:color="auto"/>
            <w:bottom w:val="none" w:sz="0" w:space="0" w:color="auto"/>
            <w:right w:val="none" w:sz="0" w:space="0" w:color="auto"/>
          </w:divBdr>
        </w:div>
        <w:div w:id="1768384589">
          <w:marLeft w:val="0"/>
          <w:marRight w:val="0"/>
          <w:marTop w:val="0"/>
          <w:marBottom w:val="0"/>
          <w:divBdr>
            <w:top w:val="none" w:sz="0" w:space="0" w:color="auto"/>
            <w:left w:val="none" w:sz="0" w:space="0" w:color="auto"/>
            <w:bottom w:val="none" w:sz="0" w:space="0" w:color="auto"/>
            <w:right w:val="none" w:sz="0" w:space="0" w:color="auto"/>
          </w:divBdr>
        </w:div>
        <w:div w:id="1940023685">
          <w:marLeft w:val="0"/>
          <w:marRight w:val="0"/>
          <w:marTop w:val="0"/>
          <w:marBottom w:val="0"/>
          <w:divBdr>
            <w:top w:val="none" w:sz="0" w:space="0" w:color="auto"/>
            <w:left w:val="none" w:sz="0" w:space="0" w:color="auto"/>
            <w:bottom w:val="none" w:sz="0" w:space="0" w:color="auto"/>
            <w:right w:val="none" w:sz="0" w:space="0" w:color="auto"/>
          </w:divBdr>
        </w:div>
        <w:div w:id="984821954">
          <w:marLeft w:val="0"/>
          <w:marRight w:val="0"/>
          <w:marTop w:val="0"/>
          <w:marBottom w:val="0"/>
          <w:divBdr>
            <w:top w:val="none" w:sz="0" w:space="0" w:color="auto"/>
            <w:left w:val="none" w:sz="0" w:space="0" w:color="auto"/>
            <w:bottom w:val="none" w:sz="0" w:space="0" w:color="auto"/>
            <w:right w:val="none" w:sz="0" w:space="0" w:color="auto"/>
          </w:divBdr>
        </w:div>
        <w:div w:id="466777094">
          <w:marLeft w:val="0"/>
          <w:marRight w:val="0"/>
          <w:marTop w:val="0"/>
          <w:marBottom w:val="0"/>
          <w:divBdr>
            <w:top w:val="none" w:sz="0" w:space="0" w:color="auto"/>
            <w:left w:val="none" w:sz="0" w:space="0" w:color="auto"/>
            <w:bottom w:val="none" w:sz="0" w:space="0" w:color="auto"/>
            <w:right w:val="none" w:sz="0" w:space="0" w:color="auto"/>
          </w:divBdr>
        </w:div>
        <w:div w:id="835153367">
          <w:marLeft w:val="0"/>
          <w:marRight w:val="0"/>
          <w:marTop w:val="0"/>
          <w:marBottom w:val="0"/>
          <w:divBdr>
            <w:top w:val="none" w:sz="0" w:space="0" w:color="auto"/>
            <w:left w:val="none" w:sz="0" w:space="0" w:color="auto"/>
            <w:bottom w:val="none" w:sz="0" w:space="0" w:color="auto"/>
            <w:right w:val="none" w:sz="0" w:space="0" w:color="auto"/>
          </w:divBdr>
        </w:div>
        <w:div w:id="2071462932">
          <w:marLeft w:val="0"/>
          <w:marRight w:val="0"/>
          <w:marTop w:val="0"/>
          <w:marBottom w:val="0"/>
          <w:divBdr>
            <w:top w:val="none" w:sz="0" w:space="0" w:color="auto"/>
            <w:left w:val="none" w:sz="0" w:space="0" w:color="auto"/>
            <w:bottom w:val="none" w:sz="0" w:space="0" w:color="auto"/>
            <w:right w:val="none" w:sz="0" w:space="0" w:color="auto"/>
          </w:divBdr>
        </w:div>
        <w:div w:id="258106194">
          <w:marLeft w:val="0"/>
          <w:marRight w:val="0"/>
          <w:marTop w:val="0"/>
          <w:marBottom w:val="0"/>
          <w:divBdr>
            <w:top w:val="none" w:sz="0" w:space="0" w:color="auto"/>
            <w:left w:val="none" w:sz="0" w:space="0" w:color="auto"/>
            <w:bottom w:val="none" w:sz="0" w:space="0" w:color="auto"/>
            <w:right w:val="none" w:sz="0" w:space="0" w:color="auto"/>
          </w:divBdr>
        </w:div>
      </w:divsChild>
    </w:div>
    <w:div w:id="1697390573">
      <w:bodyDiv w:val="1"/>
      <w:marLeft w:val="0"/>
      <w:marRight w:val="0"/>
      <w:marTop w:val="0"/>
      <w:marBottom w:val="0"/>
      <w:divBdr>
        <w:top w:val="none" w:sz="0" w:space="0" w:color="auto"/>
        <w:left w:val="none" w:sz="0" w:space="0" w:color="auto"/>
        <w:bottom w:val="none" w:sz="0" w:space="0" w:color="auto"/>
        <w:right w:val="none" w:sz="0" w:space="0" w:color="auto"/>
      </w:divBdr>
    </w:div>
    <w:div w:id="1704747329">
      <w:bodyDiv w:val="1"/>
      <w:marLeft w:val="0"/>
      <w:marRight w:val="0"/>
      <w:marTop w:val="0"/>
      <w:marBottom w:val="0"/>
      <w:divBdr>
        <w:top w:val="none" w:sz="0" w:space="0" w:color="auto"/>
        <w:left w:val="none" w:sz="0" w:space="0" w:color="auto"/>
        <w:bottom w:val="none" w:sz="0" w:space="0" w:color="auto"/>
        <w:right w:val="none" w:sz="0" w:space="0" w:color="auto"/>
      </w:divBdr>
    </w:div>
    <w:div w:id="1729180154">
      <w:bodyDiv w:val="1"/>
      <w:marLeft w:val="0"/>
      <w:marRight w:val="0"/>
      <w:marTop w:val="0"/>
      <w:marBottom w:val="0"/>
      <w:divBdr>
        <w:top w:val="none" w:sz="0" w:space="0" w:color="auto"/>
        <w:left w:val="none" w:sz="0" w:space="0" w:color="auto"/>
        <w:bottom w:val="none" w:sz="0" w:space="0" w:color="auto"/>
        <w:right w:val="none" w:sz="0" w:space="0" w:color="auto"/>
      </w:divBdr>
    </w:div>
    <w:div w:id="1731028715">
      <w:bodyDiv w:val="1"/>
      <w:marLeft w:val="0"/>
      <w:marRight w:val="0"/>
      <w:marTop w:val="0"/>
      <w:marBottom w:val="0"/>
      <w:divBdr>
        <w:top w:val="none" w:sz="0" w:space="0" w:color="auto"/>
        <w:left w:val="none" w:sz="0" w:space="0" w:color="auto"/>
        <w:bottom w:val="none" w:sz="0" w:space="0" w:color="auto"/>
        <w:right w:val="none" w:sz="0" w:space="0" w:color="auto"/>
      </w:divBdr>
    </w:div>
    <w:div w:id="1732578837">
      <w:bodyDiv w:val="1"/>
      <w:marLeft w:val="0"/>
      <w:marRight w:val="0"/>
      <w:marTop w:val="0"/>
      <w:marBottom w:val="0"/>
      <w:divBdr>
        <w:top w:val="none" w:sz="0" w:space="0" w:color="auto"/>
        <w:left w:val="none" w:sz="0" w:space="0" w:color="auto"/>
        <w:bottom w:val="none" w:sz="0" w:space="0" w:color="auto"/>
        <w:right w:val="none" w:sz="0" w:space="0" w:color="auto"/>
      </w:divBdr>
    </w:div>
    <w:div w:id="1740248882">
      <w:bodyDiv w:val="1"/>
      <w:marLeft w:val="0"/>
      <w:marRight w:val="0"/>
      <w:marTop w:val="0"/>
      <w:marBottom w:val="0"/>
      <w:divBdr>
        <w:top w:val="none" w:sz="0" w:space="0" w:color="auto"/>
        <w:left w:val="none" w:sz="0" w:space="0" w:color="auto"/>
        <w:bottom w:val="none" w:sz="0" w:space="0" w:color="auto"/>
        <w:right w:val="none" w:sz="0" w:space="0" w:color="auto"/>
      </w:divBdr>
      <w:divsChild>
        <w:div w:id="535237410">
          <w:marLeft w:val="0"/>
          <w:marRight w:val="0"/>
          <w:marTop w:val="0"/>
          <w:marBottom w:val="0"/>
          <w:divBdr>
            <w:top w:val="none" w:sz="0" w:space="0" w:color="auto"/>
            <w:left w:val="none" w:sz="0" w:space="0" w:color="auto"/>
            <w:bottom w:val="none" w:sz="0" w:space="0" w:color="auto"/>
            <w:right w:val="none" w:sz="0" w:space="0" w:color="auto"/>
          </w:divBdr>
          <w:divsChild>
            <w:div w:id="813063679">
              <w:marLeft w:val="0"/>
              <w:marRight w:val="0"/>
              <w:marTop w:val="0"/>
              <w:marBottom w:val="0"/>
              <w:divBdr>
                <w:top w:val="none" w:sz="0" w:space="0" w:color="auto"/>
                <w:left w:val="none" w:sz="0" w:space="0" w:color="auto"/>
                <w:bottom w:val="none" w:sz="0" w:space="0" w:color="auto"/>
                <w:right w:val="none" w:sz="0" w:space="0" w:color="auto"/>
              </w:divBdr>
            </w:div>
            <w:div w:id="899245517">
              <w:marLeft w:val="0"/>
              <w:marRight w:val="0"/>
              <w:marTop w:val="0"/>
              <w:marBottom w:val="0"/>
              <w:divBdr>
                <w:top w:val="none" w:sz="0" w:space="0" w:color="auto"/>
                <w:left w:val="none" w:sz="0" w:space="0" w:color="auto"/>
                <w:bottom w:val="none" w:sz="0" w:space="0" w:color="auto"/>
                <w:right w:val="none" w:sz="0" w:space="0" w:color="auto"/>
              </w:divBdr>
            </w:div>
          </w:divsChild>
        </w:div>
        <w:div w:id="165943163">
          <w:marLeft w:val="0"/>
          <w:marRight w:val="0"/>
          <w:marTop w:val="0"/>
          <w:marBottom w:val="0"/>
          <w:divBdr>
            <w:top w:val="none" w:sz="0" w:space="0" w:color="auto"/>
            <w:left w:val="none" w:sz="0" w:space="0" w:color="auto"/>
            <w:bottom w:val="none" w:sz="0" w:space="0" w:color="auto"/>
            <w:right w:val="none" w:sz="0" w:space="0" w:color="auto"/>
          </w:divBdr>
        </w:div>
      </w:divsChild>
    </w:div>
    <w:div w:id="1784417660">
      <w:bodyDiv w:val="1"/>
      <w:marLeft w:val="0"/>
      <w:marRight w:val="0"/>
      <w:marTop w:val="0"/>
      <w:marBottom w:val="0"/>
      <w:divBdr>
        <w:top w:val="none" w:sz="0" w:space="0" w:color="auto"/>
        <w:left w:val="none" w:sz="0" w:space="0" w:color="auto"/>
        <w:bottom w:val="none" w:sz="0" w:space="0" w:color="auto"/>
        <w:right w:val="none" w:sz="0" w:space="0" w:color="auto"/>
      </w:divBdr>
    </w:div>
    <w:div w:id="1799227527">
      <w:bodyDiv w:val="1"/>
      <w:marLeft w:val="0"/>
      <w:marRight w:val="0"/>
      <w:marTop w:val="0"/>
      <w:marBottom w:val="0"/>
      <w:divBdr>
        <w:top w:val="none" w:sz="0" w:space="0" w:color="auto"/>
        <w:left w:val="none" w:sz="0" w:space="0" w:color="auto"/>
        <w:bottom w:val="none" w:sz="0" w:space="0" w:color="auto"/>
        <w:right w:val="none" w:sz="0" w:space="0" w:color="auto"/>
      </w:divBdr>
    </w:div>
    <w:div w:id="1895770445">
      <w:bodyDiv w:val="1"/>
      <w:marLeft w:val="0"/>
      <w:marRight w:val="0"/>
      <w:marTop w:val="0"/>
      <w:marBottom w:val="0"/>
      <w:divBdr>
        <w:top w:val="none" w:sz="0" w:space="0" w:color="auto"/>
        <w:left w:val="none" w:sz="0" w:space="0" w:color="auto"/>
        <w:bottom w:val="none" w:sz="0" w:space="0" w:color="auto"/>
        <w:right w:val="none" w:sz="0" w:space="0" w:color="auto"/>
      </w:divBdr>
    </w:div>
    <w:div w:id="1917856044">
      <w:bodyDiv w:val="1"/>
      <w:marLeft w:val="0"/>
      <w:marRight w:val="0"/>
      <w:marTop w:val="0"/>
      <w:marBottom w:val="0"/>
      <w:divBdr>
        <w:top w:val="none" w:sz="0" w:space="0" w:color="auto"/>
        <w:left w:val="none" w:sz="0" w:space="0" w:color="auto"/>
        <w:bottom w:val="none" w:sz="0" w:space="0" w:color="auto"/>
        <w:right w:val="none" w:sz="0" w:space="0" w:color="auto"/>
      </w:divBdr>
    </w:div>
    <w:div w:id="1918399515">
      <w:bodyDiv w:val="1"/>
      <w:marLeft w:val="0"/>
      <w:marRight w:val="0"/>
      <w:marTop w:val="0"/>
      <w:marBottom w:val="0"/>
      <w:divBdr>
        <w:top w:val="none" w:sz="0" w:space="0" w:color="auto"/>
        <w:left w:val="none" w:sz="0" w:space="0" w:color="auto"/>
        <w:bottom w:val="none" w:sz="0" w:space="0" w:color="auto"/>
        <w:right w:val="none" w:sz="0" w:space="0" w:color="auto"/>
      </w:divBdr>
      <w:divsChild>
        <w:div w:id="862791255">
          <w:marLeft w:val="0"/>
          <w:marRight w:val="0"/>
          <w:marTop w:val="0"/>
          <w:marBottom w:val="0"/>
          <w:divBdr>
            <w:top w:val="none" w:sz="0" w:space="0" w:color="auto"/>
            <w:left w:val="none" w:sz="0" w:space="0" w:color="auto"/>
            <w:bottom w:val="none" w:sz="0" w:space="0" w:color="auto"/>
            <w:right w:val="none" w:sz="0" w:space="0" w:color="auto"/>
          </w:divBdr>
          <w:divsChild>
            <w:div w:id="91292140">
              <w:marLeft w:val="0"/>
              <w:marRight w:val="0"/>
              <w:marTop w:val="0"/>
              <w:marBottom w:val="0"/>
              <w:divBdr>
                <w:top w:val="none" w:sz="0" w:space="0" w:color="auto"/>
                <w:left w:val="none" w:sz="0" w:space="0" w:color="auto"/>
                <w:bottom w:val="none" w:sz="0" w:space="0" w:color="auto"/>
                <w:right w:val="none" w:sz="0" w:space="0" w:color="auto"/>
              </w:divBdr>
              <w:divsChild>
                <w:div w:id="402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5015">
      <w:bodyDiv w:val="1"/>
      <w:marLeft w:val="0"/>
      <w:marRight w:val="0"/>
      <w:marTop w:val="0"/>
      <w:marBottom w:val="0"/>
      <w:divBdr>
        <w:top w:val="none" w:sz="0" w:space="0" w:color="auto"/>
        <w:left w:val="none" w:sz="0" w:space="0" w:color="auto"/>
        <w:bottom w:val="none" w:sz="0" w:space="0" w:color="auto"/>
        <w:right w:val="none" w:sz="0" w:space="0" w:color="auto"/>
      </w:divBdr>
    </w:div>
    <w:div w:id="1937664517">
      <w:bodyDiv w:val="1"/>
      <w:marLeft w:val="0"/>
      <w:marRight w:val="0"/>
      <w:marTop w:val="0"/>
      <w:marBottom w:val="0"/>
      <w:divBdr>
        <w:top w:val="none" w:sz="0" w:space="0" w:color="auto"/>
        <w:left w:val="none" w:sz="0" w:space="0" w:color="auto"/>
        <w:bottom w:val="none" w:sz="0" w:space="0" w:color="auto"/>
        <w:right w:val="none" w:sz="0" w:space="0" w:color="auto"/>
      </w:divBdr>
    </w:div>
    <w:div w:id="1987513174">
      <w:bodyDiv w:val="1"/>
      <w:marLeft w:val="0"/>
      <w:marRight w:val="0"/>
      <w:marTop w:val="0"/>
      <w:marBottom w:val="0"/>
      <w:divBdr>
        <w:top w:val="none" w:sz="0" w:space="0" w:color="auto"/>
        <w:left w:val="none" w:sz="0" w:space="0" w:color="auto"/>
        <w:bottom w:val="none" w:sz="0" w:space="0" w:color="auto"/>
        <w:right w:val="none" w:sz="0" w:space="0" w:color="auto"/>
      </w:divBdr>
    </w:div>
    <w:div w:id="2011057418">
      <w:bodyDiv w:val="1"/>
      <w:marLeft w:val="0"/>
      <w:marRight w:val="0"/>
      <w:marTop w:val="0"/>
      <w:marBottom w:val="0"/>
      <w:divBdr>
        <w:top w:val="none" w:sz="0" w:space="0" w:color="auto"/>
        <w:left w:val="none" w:sz="0" w:space="0" w:color="auto"/>
        <w:bottom w:val="none" w:sz="0" w:space="0" w:color="auto"/>
        <w:right w:val="none" w:sz="0" w:space="0" w:color="auto"/>
      </w:divBdr>
    </w:div>
    <w:div w:id="2015523788">
      <w:bodyDiv w:val="1"/>
      <w:marLeft w:val="0"/>
      <w:marRight w:val="0"/>
      <w:marTop w:val="0"/>
      <w:marBottom w:val="0"/>
      <w:divBdr>
        <w:top w:val="none" w:sz="0" w:space="0" w:color="auto"/>
        <w:left w:val="none" w:sz="0" w:space="0" w:color="auto"/>
        <w:bottom w:val="none" w:sz="0" w:space="0" w:color="auto"/>
        <w:right w:val="none" w:sz="0" w:space="0" w:color="auto"/>
      </w:divBdr>
    </w:div>
    <w:div w:id="2027436771">
      <w:bodyDiv w:val="1"/>
      <w:marLeft w:val="0"/>
      <w:marRight w:val="0"/>
      <w:marTop w:val="0"/>
      <w:marBottom w:val="0"/>
      <w:divBdr>
        <w:top w:val="none" w:sz="0" w:space="0" w:color="auto"/>
        <w:left w:val="none" w:sz="0" w:space="0" w:color="auto"/>
        <w:bottom w:val="none" w:sz="0" w:space="0" w:color="auto"/>
        <w:right w:val="none" w:sz="0" w:space="0" w:color="auto"/>
      </w:divBdr>
    </w:div>
    <w:div w:id="2047362887">
      <w:bodyDiv w:val="1"/>
      <w:marLeft w:val="0"/>
      <w:marRight w:val="0"/>
      <w:marTop w:val="0"/>
      <w:marBottom w:val="0"/>
      <w:divBdr>
        <w:top w:val="none" w:sz="0" w:space="0" w:color="auto"/>
        <w:left w:val="none" w:sz="0" w:space="0" w:color="auto"/>
        <w:bottom w:val="none" w:sz="0" w:space="0" w:color="auto"/>
        <w:right w:val="none" w:sz="0" w:space="0" w:color="auto"/>
      </w:divBdr>
    </w:div>
    <w:div w:id="2073699179">
      <w:bodyDiv w:val="1"/>
      <w:marLeft w:val="0"/>
      <w:marRight w:val="0"/>
      <w:marTop w:val="0"/>
      <w:marBottom w:val="0"/>
      <w:divBdr>
        <w:top w:val="none" w:sz="0" w:space="0" w:color="auto"/>
        <w:left w:val="none" w:sz="0" w:space="0" w:color="auto"/>
        <w:bottom w:val="none" w:sz="0" w:space="0" w:color="auto"/>
        <w:right w:val="none" w:sz="0" w:space="0" w:color="auto"/>
      </w:divBdr>
    </w:div>
    <w:div w:id="2083211042">
      <w:bodyDiv w:val="1"/>
      <w:marLeft w:val="0"/>
      <w:marRight w:val="0"/>
      <w:marTop w:val="0"/>
      <w:marBottom w:val="0"/>
      <w:divBdr>
        <w:top w:val="none" w:sz="0" w:space="0" w:color="auto"/>
        <w:left w:val="none" w:sz="0" w:space="0" w:color="auto"/>
        <w:bottom w:val="none" w:sz="0" w:space="0" w:color="auto"/>
        <w:right w:val="none" w:sz="0" w:space="0" w:color="auto"/>
      </w:divBdr>
    </w:div>
    <w:div w:id="2091653608">
      <w:bodyDiv w:val="1"/>
      <w:marLeft w:val="0"/>
      <w:marRight w:val="0"/>
      <w:marTop w:val="0"/>
      <w:marBottom w:val="0"/>
      <w:divBdr>
        <w:top w:val="none" w:sz="0" w:space="0" w:color="auto"/>
        <w:left w:val="none" w:sz="0" w:space="0" w:color="auto"/>
        <w:bottom w:val="none" w:sz="0" w:space="0" w:color="auto"/>
        <w:right w:val="none" w:sz="0" w:space="0" w:color="auto"/>
      </w:divBdr>
    </w:div>
    <w:div w:id="2108961204">
      <w:bodyDiv w:val="1"/>
      <w:marLeft w:val="0"/>
      <w:marRight w:val="0"/>
      <w:marTop w:val="0"/>
      <w:marBottom w:val="0"/>
      <w:divBdr>
        <w:top w:val="none" w:sz="0" w:space="0" w:color="auto"/>
        <w:left w:val="none" w:sz="0" w:space="0" w:color="auto"/>
        <w:bottom w:val="none" w:sz="0" w:space="0" w:color="auto"/>
        <w:right w:val="none" w:sz="0" w:space="0" w:color="auto"/>
      </w:divBdr>
    </w:div>
    <w:div w:id="2127118902">
      <w:bodyDiv w:val="1"/>
      <w:marLeft w:val="0"/>
      <w:marRight w:val="0"/>
      <w:marTop w:val="0"/>
      <w:marBottom w:val="0"/>
      <w:divBdr>
        <w:top w:val="none" w:sz="0" w:space="0" w:color="auto"/>
        <w:left w:val="none" w:sz="0" w:space="0" w:color="auto"/>
        <w:bottom w:val="none" w:sz="0" w:space="0" w:color="auto"/>
        <w:right w:val="none" w:sz="0" w:space="0" w:color="auto"/>
      </w:divBdr>
    </w:div>
    <w:div w:id="2131168072">
      <w:bodyDiv w:val="1"/>
      <w:marLeft w:val="0"/>
      <w:marRight w:val="0"/>
      <w:marTop w:val="0"/>
      <w:marBottom w:val="0"/>
      <w:divBdr>
        <w:top w:val="none" w:sz="0" w:space="0" w:color="auto"/>
        <w:left w:val="none" w:sz="0" w:space="0" w:color="auto"/>
        <w:bottom w:val="none" w:sz="0" w:space="0" w:color="auto"/>
        <w:right w:val="none" w:sz="0" w:space="0" w:color="auto"/>
      </w:divBdr>
    </w:div>
    <w:div w:id="21447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www.norwaygrant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t.gov.lt/uploads/documents/files/veiklos-sritys/valstybes-pagalba/klausimynai/kaip_KLAUSIMYNAS_vienas_ukio_subjektas.pdf" TargetMode="External"/><Relationship Id="rId17" Type="http://schemas.openxmlformats.org/officeDocument/2006/relationships/hyperlink" Target="http://www.lrv.mita.lt" TargetMode="External"/><Relationship Id="rId2" Type="http://schemas.openxmlformats.org/officeDocument/2006/relationships/customXml" Target="../customXml/item2.xml"/><Relationship Id="rId16" Type="http://schemas.openxmlformats.org/officeDocument/2006/relationships/hyperlink" Target="http://www.norwaygrants.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arl.europa.eu/RegData/etudes/BRIE/2016/573899/EPRS_BRI%282016%29573899_EN.pdf" TargetMode="External"/><Relationship Id="rId5" Type="http://schemas.openxmlformats.org/officeDocument/2006/relationships/numbering" Target="numbering.xml"/><Relationship Id="rId15" Type="http://schemas.openxmlformats.org/officeDocument/2006/relationships/hyperlink" Target="http://www.lrv.mita.l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waygrants.l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3a00ca517f7d11e89188e16a6495e98c?jfwid=sujoljp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FA644-3D52-FB49-BEBA-B6B628A05B98}">
  <ds:schemaRefs>
    <ds:schemaRef ds:uri="http://schemas.openxmlformats.org/officeDocument/2006/bibliography"/>
  </ds:schemaRefs>
</ds:datastoreItem>
</file>

<file path=customXml/itemProps2.xml><?xml version="1.0" encoding="utf-8"?>
<ds:datastoreItem xmlns:ds="http://schemas.openxmlformats.org/officeDocument/2006/customXml" ds:itemID="{FF2738DA-40D6-49F6-8A96-2F793391E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358E8-9799-4509-B71C-8108F1DC3CC4}">
  <ds:schemaRefs>
    <ds:schemaRef ds:uri="http://schemas.microsoft.com/sharepoint/v3/contenttype/forms"/>
  </ds:schemaRefs>
</ds:datastoreItem>
</file>

<file path=customXml/itemProps4.xml><?xml version="1.0" encoding="utf-8"?>
<ds:datastoreItem xmlns:ds="http://schemas.openxmlformats.org/officeDocument/2006/customXml" ds:itemID="{BB4AFD31-202A-403B-BD1B-2AFDBC3C43E2}"/>
</file>

<file path=docProps/app.xml><?xml version="1.0" encoding="utf-8"?>
<Properties xmlns="http://schemas.openxmlformats.org/officeDocument/2006/extended-properties" xmlns:vt="http://schemas.openxmlformats.org/officeDocument/2006/docPropsVTypes">
  <Template>Normal.dotm</Template>
  <TotalTime>15</TotalTime>
  <Pages>18</Pages>
  <Words>9014</Words>
  <Characters>51381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Mažul</dc:creator>
  <cp:keywords/>
  <dc:description/>
  <cp:lastModifiedBy>Ina Sinkevičiūtė</cp:lastModifiedBy>
  <cp:revision>4</cp:revision>
  <cp:lastPrinted>2020-06-22T06:03:00Z</cp:lastPrinted>
  <dcterms:created xsi:type="dcterms:W3CDTF">2020-07-27T05:24:00Z</dcterms:created>
  <dcterms:modified xsi:type="dcterms:W3CDTF">2020-07-27T06:24:00Z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y fmtid="{D5CDD505-2E9C-101B-9397-08002B2CF9AE}" pid="3" name="DPP">
    <vt:lpwstr>48;#Innovation Norway (IN)</vt:lpwstr>
  </property>
  <property fmtid="{D5CDD505-2E9C-101B-9397-08002B2CF9AE}" pid="4" name="ProgrammeCodes">
    <vt:lpwstr>125;#LT-INNOVATION</vt:lpwstr>
  </property>
  <property fmtid="{D5CDD505-2E9C-101B-9397-08002B2CF9AE}" pid="5" name="ProgrammeArea">
    <vt:lpwstr>39;#Business Development, Innovation and SMEs</vt:lpwstr>
  </property>
</Properties>
</file>