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6067" w14:textId="6D651D66" w:rsidR="004B3938" w:rsidRPr="004510A5" w:rsidRDefault="004914C9" w:rsidP="004B3938">
      <w:pPr>
        <w:widowControl w:val="0"/>
        <w:tabs>
          <w:tab w:val="left" w:pos="7230"/>
        </w:tabs>
        <w:ind w:left="6379" w:firstLine="0"/>
        <w:jc w:val="both"/>
        <w:rPr>
          <w:rFonts w:ascii="Times" w:hAnsi="Times"/>
          <w:sz w:val="22"/>
          <w:szCs w:val="22"/>
          <w:lang w:val="en"/>
        </w:rPr>
      </w:pPr>
      <w:r>
        <w:rPr>
          <w:rFonts w:ascii="Times" w:hAnsi="Times"/>
          <w:sz w:val="22"/>
          <w:szCs w:val="22"/>
          <w:lang w:val="en"/>
        </w:rPr>
        <w:t>Annex No 10</w:t>
      </w:r>
    </w:p>
    <w:p w14:paraId="48348E55" w14:textId="0C62F5C4" w:rsidR="009D32B7" w:rsidRDefault="003E4292" w:rsidP="003E4292">
      <w:pPr>
        <w:widowControl w:val="0"/>
        <w:tabs>
          <w:tab w:val="left" w:pos="7230"/>
        </w:tabs>
        <w:ind w:left="6379" w:firstLine="0"/>
        <w:jc w:val="both"/>
        <w:rPr>
          <w:rFonts w:ascii="Times" w:hAnsi="Times"/>
          <w:sz w:val="22"/>
          <w:szCs w:val="22"/>
          <w:lang w:val="en"/>
        </w:rPr>
      </w:pPr>
      <w:r>
        <w:rPr>
          <w:rFonts w:ascii="Times" w:hAnsi="Times"/>
          <w:sz w:val="22"/>
          <w:szCs w:val="22"/>
          <w:lang w:val="en"/>
        </w:rPr>
        <w:t>to the Guidelines for the a</w:t>
      </w:r>
      <w:r w:rsidR="004B3938" w:rsidRPr="004510A5">
        <w:rPr>
          <w:rFonts w:ascii="Times" w:hAnsi="Times"/>
          <w:sz w:val="22"/>
          <w:szCs w:val="22"/>
          <w:lang w:val="en"/>
        </w:rPr>
        <w:t>pplicants of the</w:t>
      </w:r>
      <w:r>
        <w:rPr>
          <w:rFonts w:ascii="Times" w:hAnsi="Times"/>
          <w:sz w:val="22"/>
          <w:szCs w:val="22"/>
          <w:lang w:val="en"/>
        </w:rPr>
        <w:t xml:space="preserve"> open  c</w:t>
      </w:r>
      <w:r w:rsidR="004B3938" w:rsidRPr="004510A5">
        <w:rPr>
          <w:rFonts w:ascii="Times" w:hAnsi="Times"/>
          <w:sz w:val="22"/>
          <w:szCs w:val="22"/>
          <w:lang w:val="en"/>
        </w:rPr>
        <w:t>all “</w:t>
      </w:r>
      <w:r w:rsidRPr="003E4292">
        <w:rPr>
          <w:rFonts w:ascii="Times" w:hAnsi="Times"/>
          <w:sz w:val="22"/>
          <w:szCs w:val="22"/>
          <w:lang w:val="en"/>
        </w:rPr>
        <w:t>Implementat</w:t>
      </w:r>
      <w:r w:rsidR="0019398B">
        <w:rPr>
          <w:rFonts w:ascii="Times" w:hAnsi="Times"/>
          <w:sz w:val="22"/>
          <w:szCs w:val="22"/>
          <w:lang w:val="en"/>
        </w:rPr>
        <w:t>ion of the Model of Well-being Advise</w:t>
      </w:r>
      <w:bookmarkStart w:id="0" w:name="_GoBack"/>
      <w:bookmarkEnd w:id="0"/>
      <w:r w:rsidRPr="003E4292">
        <w:rPr>
          <w:rFonts w:ascii="Times" w:hAnsi="Times"/>
          <w:sz w:val="22"/>
          <w:szCs w:val="22"/>
          <w:lang w:val="en"/>
        </w:rPr>
        <w:t>rs” under the Programme “Health“ of the EEA financial mechanism 2014-2021</w:t>
      </w:r>
    </w:p>
    <w:p w14:paraId="4B09DDA8" w14:textId="4E6B6F0E" w:rsidR="003E4292" w:rsidRDefault="003E4292" w:rsidP="003E4292">
      <w:pPr>
        <w:widowControl w:val="0"/>
        <w:tabs>
          <w:tab w:val="left" w:pos="7230"/>
        </w:tabs>
        <w:ind w:left="6379" w:firstLine="0"/>
        <w:jc w:val="both"/>
        <w:rPr>
          <w:rFonts w:ascii="Times" w:hAnsi="Times"/>
          <w:sz w:val="22"/>
          <w:szCs w:val="22"/>
          <w:lang w:val="en"/>
        </w:rPr>
      </w:pPr>
    </w:p>
    <w:p w14:paraId="0A9049C0" w14:textId="77777777" w:rsidR="003E4292" w:rsidRPr="004011A9" w:rsidRDefault="003E4292" w:rsidP="003E4292">
      <w:pPr>
        <w:widowControl w:val="0"/>
        <w:tabs>
          <w:tab w:val="left" w:pos="7230"/>
        </w:tabs>
        <w:ind w:left="6379" w:firstLine="0"/>
        <w:jc w:val="both"/>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on the basis of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r w:rsidR="001419CC" w:rsidRPr="004011A9">
        <w:rPr>
          <w:rFonts w:ascii="Times New Roman" w:hAnsi="Times New Roman" w:cs="Times New Roman"/>
          <w:b/>
          <w:color w:val="FF0000"/>
          <w:sz w:val="24"/>
          <w:szCs w:val="24"/>
          <w:lang w:val="en-GB"/>
        </w:rPr>
        <w:t>Clauses which must be completed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r w:rsidR="000E5807" w:rsidRPr="004011A9">
              <w:rPr>
                <w:rFonts w:ascii="Times New Roman" w:hAnsi="Times New Roman" w:cs="Times New Roman"/>
                <w:i/>
                <w:color w:val="000000"/>
                <w:lang w:val="en-GB"/>
              </w:rPr>
              <w:t>the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r w:rsidR="00676EA7" w:rsidRPr="004011A9">
              <w:rPr>
                <w:rFonts w:ascii="Times New Roman" w:hAnsi="Times New Roman" w:cs="Times New Roman"/>
                <w:i/>
                <w:iCs/>
                <w:color w:val="000000"/>
                <w:szCs w:val="24"/>
                <w:lang w:val="en-GB"/>
              </w:rPr>
              <w:t xml:space="preserve">characteristics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r w:rsidR="0064308E" w:rsidRPr="004011A9">
              <w:rPr>
                <w:rFonts w:ascii="Times New Roman" w:hAnsi="Times New Roman" w:cs="Times New Roman"/>
                <w:i/>
                <w:iCs/>
                <w:color w:val="000000"/>
                <w:szCs w:val="24"/>
                <w:lang w:val="en-GB"/>
              </w:rPr>
              <w:t xml:space="preserve">where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preferred by the CA may be indicated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the technical specification, which will be used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than </w:t>
            </w:r>
            <w:r w:rsidR="00FF1FAC" w:rsidRPr="004011A9">
              <w:rPr>
                <w:rFonts w:ascii="Times New Roman" w:hAnsi="Times New Roman" w:cs="Times New Roman"/>
                <w:bCs/>
                <w:color w:val="000000"/>
                <w:szCs w:val="24"/>
                <w:lang w:val="en-GB"/>
              </w:rPr>
              <w:t xml:space="preserve"> 10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r w:rsidR="00FE3725">
              <w:rPr>
                <w:rFonts w:ascii="Times New Roman" w:hAnsi="Times New Roman" w:cs="Times New Roman"/>
                <w:b/>
                <w:szCs w:val="10"/>
                <w:u w:val="single"/>
                <w:lang w:val="en-GB"/>
              </w:rPr>
              <w:t>subclauses</w:t>
            </w:r>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shall </w:t>
            </w:r>
            <w:r w:rsidR="00FE3725" w:rsidRPr="00FE3725">
              <w:rPr>
                <w:rFonts w:ascii="Times New Roman" w:hAnsi="Times New Roman" w:cs="Times New Roman"/>
                <w:b/>
                <w:szCs w:val="10"/>
                <w:u w:val="single"/>
                <w:lang w:val="en-GB"/>
              </w:rPr>
              <w:t>be completed</w:t>
            </w:r>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r w:rsidR="00061730">
              <w:rPr>
                <w:rFonts w:ascii="Times New Roman" w:hAnsi="Times New Roman" w:cs="Times New Roman"/>
                <w:bCs/>
                <w:color w:val="000000"/>
                <w:szCs w:val="24"/>
                <w:lang w:val="en-GB"/>
              </w:rPr>
              <w:t xml:space="preserve">if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https://www.cpva.lt/eee-ir-norvegijos-finansiniai-mechanizmai-2014-2021-m./dokumentai/682/act712?sqid=f8af11f880a69b7be6a58393cd8929977418fba</w:t>
              </w:r>
            </w:hyperlink>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persons,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lastRenderedPageBreak/>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the sum of funds necessary for the project may be calculated as an arithmetic average of the forecasted order budget amount indicated 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is indicated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r w:rsidR="006F7BC2">
              <w:rPr>
                <w:rFonts w:ascii="Times New Roman" w:hAnsi="Times New Roman" w:cs="Times New Roman"/>
                <w:bCs/>
                <w:i/>
                <w:color w:val="000000"/>
                <w:szCs w:val="24"/>
                <w:lang w:val="en-GB"/>
              </w:rPr>
              <w:t>the recommendation is to complete this summary</w:t>
            </w:r>
            <w:r w:rsidR="001A3D6F" w:rsidRPr="004011A9">
              <w:rPr>
                <w:rFonts w:ascii="Times New Roman" w:hAnsi="Times New Roman" w:cs="Times New Roman"/>
                <w:bCs/>
                <w:i/>
                <w:color w:val="000000"/>
                <w:szCs w:val="24"/>
                <w:lang w:val="en-GB"/>
              </w:rPr>
              <w:t xml:space="preserve">. </w:t>
            </w:r>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 xml:space="preserve">can be provided using Excel, etc.).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procurement is assessed o</w:t>
            </w:r>
            <w:r w:rsidR="008A318F" w:rsidRPr="008A318F">
              <w:rPr>
                <w:rFonts w:ascii="Times New Roman" w:hAnsi="Times New Roman" w:cs="Times New Roman"/>
                <w:bCs/>
                <w:i/>
                <w:color w:val="000000"/>
                <w:szCs w:val="24"/>
                <w:lang w:val="en-GB"/>
              </w:rPr>
              <w:t xml:space="preserve">n the basis of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Names of the suppliers shall be specified</w:t>
            </w:r>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having taken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as the characteristics of the object of procurement for which a market research is being carried out.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take these differences into account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was submitted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was submitted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is recommended,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shall be specified</w:t>
            </w:r>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 applicable, the suppliers having participated in the consultation and their offered price shall be specified</w:t>
            </w:r>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was </w:t>
            </w:r>
            <w:r>
              <w:rPr>
                <w:rFonts w:ascii="Times New Roman" w:hAnsi="Times New Roman" w:cs="Times New Roman"/>
                <w:i/>
                <w:iCs/>
                <w:color w:val="000000"/>
                <w:szCs w:val="24"/>
                <w:lang w:val="en-GB"/>
              </w:rPr>
              <w:t xml:space="preserve">received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It shall be specified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A market research may not be conducted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r w:rsidR="00AB28C9" w:rsidRPr="00AB28C9">
              <w:rPr>
                <w:rFonts w:ascii="Times New Roman" w:hAnsi="Times New Roman" w:cs="Times New Roman"/>
                <w:i/>
                <w:iCs/>
                <w:szCs w:val="24"/>
                <w:lang w:val="en-GB"/>
              </w:rPr>
              <w:t>other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is </w:t>
            </w:r>
            <w:r>
              <w:rPr>
                <w:rFonts w:ascii="Times New Roman" w:hAnsi="Times New Roman" w:cs="Times New Roman"/>
                <w:i/>
                <w:iCs/>
                <w:szCs w:val="24"/>
                <w:lang w:val="en-GB"/>
              </w:rPr>
              <w:t>affected</w:t>
            </w:r>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The percentage of multiple factors may only be chosen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based whereon calculations and conclusions are made,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shall be calculated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should be noted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pt" o:ole="">
                  <v:imagedata r:id="rId12" o:title=""/>
                </v:shape>
                <o:OLEObject Type="Embed" ProgID="Excel.Sheet.12" ShapeID="_x0000_i1025" DrawAspect="Content" ObjectID="_1678631572"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01C16319" w:rsidR="00132383" w:rsidRDefault="00132383">
        <w:pPr>
          <w:pStyle w:val="Footer"/>
          <w:jc w:val="right"/>
        </w:pPr>
        <w:r>
          <w:fldChar w:fldCharType="begin"/>
        </w:r>
        <w:r>
          <w:instrText xml:space="preserve"> PAGE   \* MERGEFORMAT </w:instrText>
        </w:r>
        <w:r>
          <w:fldChar w:fldCharType="separate"/>
        </w:r>
        <w:r w:rsidR="0019398B">
          <w:rPr>
            <w:noProof/>
          </w:rPr>
          <w:t>1</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The sum shall be calculated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9398B"/>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5A39"/>
    <w:rsid w:val="002E3D49"/>
    <w:rsid w:val="002E6DAD"/>
    <w:rsid w:val="002F3C2A"/>
    <w:rsid w:val="002F6780"/>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292"/>
    <w:rsid w:val="003E4D46"/>
    <w:rsid w:val="003E5CE4"/>
    <w:rsid w:val="003E6B08"/>
    <w:rsid w:val="003E7FCD"/>
    <w:rsid w:val="003F636B"/>
    <w:rsid w:val="004011A9"/>
    <w:rsid w:val="00402D79"/>
    <w:rsid w:val="00402EB3"/>
    <w:rsid w:val="00410078"/>
    <w:rsid w:val="00413EAC"/>
    <w:rsid w:val="004213C7"/>
    <w:rsid w:val="004224A6"/>
    <w:rsid w:val="004258D4"/>
    <w:rsid w:val="00430CE3"/>
    <w:rsid w:val="00433AFB"/>
    <w:rsid w:val="0044107B"/>
    <w:rsid w:val="0045089A"/>
    <w:rsid w:val="0045577A"/>
    <w:rsid w:val="00460F9A"/>
    <w:rsid w:val="004679A6"/>
    <w:rsid w:val="0047520A"/>
    <w:rsid w:val="00475DEB"/>
    <w:rsid w:val="00477470"/>
    <w:rsid w:val="00477AA7"/>
    <w:rsid w:val="00487382"/>
    <w:rsid w:val="004914C9"/>
    <w:rsid w:val="004955CF"/>
    <w:rsid w:val="004A1FEE"/>
    <w:rsid w:val="004A3229"/>
    <w:rsid w:val="004A571A"/>
    <w:rsid w:val="004B160C"/>
    <w:rsid w:val="004B1A87"/>
    <w:rsid w:val="004B1E94"/>
    <w:rsid w:val="004B3938"/>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7F74B7"/>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6F2B"/>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D820-746B-4BE7-8D50-255866C6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Lina Benetė</cp:lastModifiedBy>
  <cp:revision>8</cp:revision>
  <cp:lastPrinted>2019-05-28T07:35:00Z</cp:lastPrinted>
  <dcterms:created xsi:type="dcterms:W3CDTF">2020-06-14T09:26:00Z</dcterms:created>
  <dcterms:modified xsi:type="dcterms:W3CDTF">2021-03-30T14:46:00Z</dcterms:modified>
</cp:coreProperties>
</file>